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89" w:rsidRDefault="005A4789" w:rsidP="005A4789">
      <w:pPr>
        <w:spacing w:line="520" w:lineRule="exact"/>
        <w:jc w:val="left"/>
        <w:rPr>
          <w:rFonts w:ascii="黑体" w:eastAsia="黑体" w:hAnsi="黑体" w:cs="仿宋_GB2312" w:hint="eastAsia"/>
          <w:szCs w:val="32"/>
        </w:rPr>
      </w:pPr>
      <w:r>
        <w:rPr>
          <w:rFonts w:ascii="黑体" w:eastAsia="黑体" w:hAnsi="黑体" w:cs="仿宋_GB2312" w:hint="eastAsia"/>
          <w:szCs w:val="32"/>
          <w:lang/>
        </w:rPr>
        <w:t>附件</w:t>
      </w:r>
      <w:r>
        <w:rPr>
          <w:rFonts w:ascii="黑体" w:eastAsia="黑体" w:hAnsi="黑体" w:cs="仿宋_GB2312" w:hint="eastAsia"/>
          <w:szCs w:val="32"/>
        </w:rPr>
        <w:t>2</w:t>
      </w:r>
    </w:p>
    <w:p w:rsidR="005A4789" w:rsidRDefault="005A4789" w:rsidP="005A4789">
      <w:pPr>
        <w:pStyle w:val="2"/>
        <w:spacing w:line="300" w:lineRule="exact"/>
        <w:ind w:left="614"/>
      </w:pPr>
    </w:p>
    <w:p w:rsidR="005A4789" w:rsidRDefault="005A4789" w:rsidP="005A4789">
      <w:pPr>
        <w:spacing w:line="580" w:lineRule="exact"/>
        <w:jc w:val="center"/>
        <w:rPr>
          <w:rFonts w:ascii="方正小标宋简体" w:eastAsia="方正小标宋简体" w:hint="eastAsia"/>
          <w:spacing w:val="-20"/>
          <w:sz w:val="44"/>
          <w:szCs w:val="44"/>
        </w:rPr>
      </w:pPr>
      <w:r>
        <w:rPr>
          <w:rFonts w:ascii="方正小标宋简体" w:eastAsia="方正小标宋简体" w:hint="eastAsia"/>
          <w:spacing w:val="-20"/>
          <w:sz w:val="44"/>
          <w:szCs w:val="44"/>
        </w:rPr>
        <w:t>关于深化“整治在建工程项目拖欠工程款、农民工</w:t>
      </w:r>
    </w:p>
    <w:p w:rsidR="005A4789" w:rsidRDefault="005A4789" w:rsidP="005A4789">
      <w:pPr>
        <w:spacing w:line="580" w:lineRule="exact"/>
        <w:jc w:val="center"/>
        <w:rPr>
          <w:rFonts w:ascii="方正小标宋简体" w:eastAsia="方正小标宋简体" w:hint="eastAsia"/>
          <w:spacing w:val="-20"/>
          <w:sz w:val="44"/>
          <w:szCs w:val="44"/>
        </w:rPr>
      </w:pPr>
      <w:r>
        <w:rPr>
          <w:rFonts w:ascii="方正小标宋简体" w:eastAsia="方正小标宋简体" w:hint="eastAsia"/>
          <w:spacing w:val="-20"/>
          <w:sz w:val="44"/>
          <w:szCs w:val="44"/>
        </w:rPr>
        <w:t>工资问题，保障农民工权益</w:t>
      </w:r>
      <w:proofErr w:type="gramStart"/>
      <w:r>
        <w:rPr>
          <w:rFonts w:ascii="方正小标宋简体" w:eastAsia="方正小标宋简体" w:hint="eastAsia"/>
          <w:spacing w:val="-20"/>
          <w:sz w:val="44"/>
          <w:szCs w:val="44"/>
        </w:rPr>
        <w:t>”</w:t>
      </w:r>
      <w:proofErr w:type="gramEnd"/>
      <w:r>
        <w:rPr>
          <w:rFonts w:ascii="方正小标宋简体" w:eastAsia="方正小标宋简体" w:hint="eastAsia"/>
          <w:spacing w:val="-20"/>
          <w:sz w:val="44"/>
          <w:szCs w:val="44"/>
        </w:rPr>
        <w:t>工作方案</w:t>
      </w:r>
    </w:p>
    <w:p w:rsidR="005A4789" w:rsidRDefault="005A4789" w:rsidP="005A4789">
      <w:pPr>
        <w:spacing w:line="300" w:lineRule="exact"/>
        <w:rPr>
          <w:rFonts w:eastAsia="方正小标宋简体" w:hint="eastAsia"/>
          <w:sz w:val="44"/>
          <w:szCs w:val="44"/>
        </w:rPr>
      </w:pP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为进一步深化推进我区房屋建筑和市政基础设施工程领域在建项目拖欠工程款及农民工工资问题整治，保障施工企业工程款和农民工工资权益，结合区纪委监委工作要求以及省、市住建和</w:t>
      </w:r>
      <w:proofErr w:type="gramStart"/>
      <w:r>
        <w:rPr>
          <w:rFonts w:ascii="仿宋_GB2312" w:hAnsi="仿宋_GB2312" w:cs="仿宋_GB2312" w:hint="eastAsia"/>
          <w:color w:val="000000"/>
          <w:szCs w:val="32"/>
        </w:rPr>
        <w:t>人社部门</w:t>
      </w:r>
      <w:proofErr w:type="gramEnd"/>
      <w:r>
        <w:rPr>
          <w:rFonts w:ascii="仿宋_GB2312" w:hAnsi="仿宋_GB2312" w:cs="仿宋_GB2312" w:hint="eastAsia"/>
          <w:color w:val="000000"/>
          <w:szCs w:val="32"/>
        </w:rPr>
        <w:t>印发的《关于深化“整治在建工程项目拖欠工程款、农民工工资问题，保障农民工权益”工作方案》的相关要求，现制定本工作方案。</w:t>
      </w:r>
    </w:p>
    <w:p w:rsidR="005A4789" w:rsidRDefault="005A4789" w:rsidP="005A4789">
      <w:pPr>
        <w:spacing w:line="540" w:lineRule="exact"/>
        <w:ind w:firstLineChars="200" w:firstLine="614"/>
        <w:rPr>
          <w:rFonts w:ascii="黑体" w:eastAsia="黑体" w:hAnsi="黑体" w:cs="黑体" w:hint="eastAsia"/>
          <w:color w:val="000000"/>
          <w:szCs w:val="32"/>
        </w:rPr>
      </w:pPr>
      <w:r>
        <w:rPr>
          <w:rFonts w:ascii="黑体" w:eastAsia="黑体" w:hAnsi="黑体" w:cs="黑体" w:hint="eastAsia"/>
          <w:color w:val="000000"/>
          <w:szCs w:val="32"/>
        </w:rPr>
        <w:t>一、整治目标</w:t>
      </w:r>
    </w:p>
    <w:p w:rsidR="005A4789" w:rsidRDefault="005A4789" w:rsidP="005A4789">
      <w:pPr>
        <w:pStyle w:val="2"/>
        <w:spacing w:line="540" w:lineRule="exact"/>
        <w:ind w:leftChars="0" w:left="0"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以习近平新时代中国特色社会主义思想为指导，全面贯彻党的二十大精神，结合落实省、市、区委“深学争优、敢为争先、实干争效”行动，</w:t>
      </w:r>
      <w:proofErr w:type="gramStart"/>
      <w:r>
        <w:rPr>
          <w:rFonts w:ascii="仿宋_GB2312" w:hAnsi="仿宋_GB2312" w:cs="仿宋_GB2312" w:hint="eastAsia"/>
          <w:color w:val="000000"/>
          <w:szCs w:val="32"/>
        </w:rPr>
        <w:t>践行</w:t>
      </w:r>
      <w:proofErr w:type="gramEnd"/>
      <w:r>
        <w:rPr>
          <w:rFonts w:ascii="仿宋_GB2312" w:hAnsi="仿宋_GB2312" w:cs="仿宋_GB2312" w:hint="eastAsia"/>
          <w:color w:val="000000"/>
          <w:szCs w:val="32"/>
        </w:rPr>
        <w:t>以人民为中心的发展思想，直面群众关心、社会关切，聚焦突出问题、明显短板，深化推进拖欠工程款和农民工工资整治。着力规范建筑市场秩序，严厉打击建筑市场违法行为，强化信息化动态监管，夯实</w:t>
      </w:r>
      <w:proofErr w:type="gramStart"/>
      <w:r>
        <w:rPr>
          <w:rFonts w:ascii="仿宋_GB2312" w:hAnsi="仿宋_GB2312" w:cs="仿宋_GB2312" w:hint="eastAsia"/>
          <w:color w:val="000000"/>
          <w:szCs w:val="32"/>
        </w:rPr>
        <w:t>防欠治欠长效</w:t>
      </w:r>
      <w:proofErr w:type="gramEnd"/>
      <w:r>
        <w:rPr>
          <w:rFonts w:ascii="仿宋_GB2312" w:hAnsi="仿宋_GB2312" w:cs="仿宋_GB2312" w:hint="eastAsia"/>
          <w:color w:val="000000"/>
          <w:szCs w:val="32"/>
        </w:rPr>
        <w:t>制度落实，努力实现在建项目工程款支付</w:t>
      </w:r>
      <w:proofErr w:type="gramStart"/>
      <w:r>
        <w:rPr>
          <w:rFonts w:ascii="仿宋_GB2312" w:hAnsi="仿宋_GB2312" w:cs="仿宋_GB2312" w:hint="eastAsia"/>
          <w:color w:val="000000"/>
          <w:szCs w:val="32"/>
        </w:rPr>
        <w:t>担保全</w:t>
      </w:r>
      <w:proofErr w:type="gramEnd"/>
      <w:r>
        <w:rPr>
          <w:rFonts w:ascii="仿宋_GB2312" w:hAnsi="仿宋_GB2312" w:cs="仿宋_GB2312" w:hint="eastAsia"/>
          <w:color w:val="000000"/>
          <w:szCs w:val="32"/>
        </w:rPr>
        <w:t>覆盖；实名制项目更新率达到90%以上，有考勤项目的平均考勤人数超81人，项目经理和总监到岗率超70%，拖欠农民工工资举报投诉案件实现动态清零，结案率达98%以上。</w:t>
      </w:r>
    </w:p>
    <w:p w:rsidR="005A4789" w:rsidRDefault="005A4789" w:rsidP="005A4789">
      <w:pPr>
        <w:spacing w:line="540" w:lineRule="exact"/>
        <w:ind w:firstLineChars="200" w:firstLine="614"/>
        <w:rPr>
          <w:rFonts w:ascii="黑体" w:eastAsia="黑体" w:hAnsi="黑体" w:cs="黑体" w:hint="eastAsia"/>
          <w:color w:val="000000"/>
          <w:szCs w:val="32"/>
        </w:rPr>
      </w:pPr>
      <w:r>
        <w:rPr>
          <w:rFonts w:ascii="黑体" w:eastAsia="黑体" w:hAnsi="黑体" w:cs="黑体" w:hint="eastAsia"/>
          <w:color w:val="000000"/>
          <w:szCs w:val="32"/>
        </w:rPr>
        <w:t>二、整治内容</w:t>
      </w:r>
    </w:p>
    <w:p w:rsidR="005A4789" w:rsidRDefault="005A4789" w:rsidP="005A4789">
      <w:pPr>
        <w:spacing w:line="540" w:lineRule="exact"/>
        <w:ind w:firstLineChars="200" w:firstLine="617"/>
        <w:rPr>
          <w:rFonts w:ascii="楷体_GB2312" w:eastAsia="楷体_GB2312" w:hAnsi="楷体_GB2312" w:cs="楷体_GB2312" w:hint="eastAsia"/>
          <w:b/>
          <w:bCs/>
          <w:color w:val="000000"/>
          <w:szCs w:val="32"/>
        </w:rPr>
      </w:pPr>
      <w:r>
        <w:rPr>
          <w:rFonts w:ascii="楷体_GB2312" w:eastAsia="楷体_GB2312" w:hAnsi="楷体_GB2312" w:cs="楷体_GB2312" w:hint="eastAsia"/>
          <w:b/>
          <w:bCs/>
          <w:color w:val="000000"/>
          <w:szCs w:val="32"/>
        </w:rPr>
        <w:t>（一）整治范围</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color w:val="000000"/>
          <w:szCs w:val="32"/>
        </w:rPr>
        <w:t>以政府和国企投资项目、中小型项目为重点，对</w:t>
      </w:r>
      <w:r>
        <w:rPr>
          <w:rFonts w:ascii="仿宋_GB2312" w:hAnsi="仿宋_GB2312" w:cs="仿宋_GB2312" w:hint="eastAsia"/>
          <w:color w:val="000000"/>
          <w:szCs w:val="32"/>
        </w:rPr>
        <w:t>全区范围内的</w:t>
      </w:r>
      <w:r>
        <w:rPr>
          <w:rFonts w:ascii="仿宋_GB2312" w:hAnsi="仿宋_GB2312" w:cs="仿宋_GB2312"/>
          <w:color w:val="000000"/>
          <w:szCs w:val="32"/>
        </w:rPr>
        <w:t>房屋建筑和市政基础设施工程在建项目全面开展专项整治</w:t>
      </w:r>
      <w:r>
        <w:rPr>
          <w:rFonts w:ascii="仿宋_GB2312" w:hAnsi="仿宋_GB2312" w:cs="仿宋_GB2312" w:hint="eastAsia"/>
          <w:color w:val="000000"/>
          <w:szCs w:val="32"/>
        </w:rPr>
        <w:t>。</w:t>
      </w:r>
    </w:p>
    <w:p w:rsidR="005A4789" w:rsidRDefault="005A4789" w:rsidP="005A4789">
      <w:pPr>
        <w:spacing w:line="540" w:lineRule="exact"/>
        <w:ind w:firstLineChars="200" w:firstLine="617"/>
        <w:rPr>
          <w:rFonts w:ascii="楷体_GB2312" w:eastAsia="楷体_GB2312" w:hAnsi="楷体_GB2312" w:cs="楷体_GB2312" w:hint="eastAsia"/>
          <w:b/>
          <w:bCs/>
          <w:color w:val="000000"/>
          <w:szCs w:val="32"/>
        </w:rPr>
      </w:pPr>
      <w:r>
        <w:rPr>
          <w:rFonts w:ascii="楷体_GB2312" w:eastAsia="楷体_GB2312" w:hAnsi="楷体_GB2312" w:cs="楷体_GB2312" w:hint="eastAsia"/>
          <w:b/>
          <w:bCs/>
          <w:color w:val="000000"/>
          <w:szCs w:val="32"/>
        </w:rPr>
        <w:lastRenderedPageBreak/>
        <w:t>（二）整治重点</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1</w:t>
      </w:r>
      <w:r>
        <w:rPr>
          <w:rFonts w:ascii="仿宋_GB2312" w:hAnsi="仿宋_GB2312" w:cs="仿宋_GB2312"/>
          <w:color w:val="000000"/>
          <w:szCs w:val="32"/>
        </w:rPr>
        <w:t>.</w:t>
      </w:r>
      <w:r>
        <w:rPr>
          <w:rFonts w:ascii="仿宋_GB2312" w:hAnsi="仿宋_GB2312" w:cs="仿宋_GB2312" w:hint="eastAsia"/>
          <w:color w:val="000000"/>
          <w:szCs w:val="32"/>
        </w:rPr>
        <w:t>工程款支付担保、实名制信息化管理、农民工工资专用账户、工资保证金等制度落实不到位问题；</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2</w:t>
      </w:r>
      <w:r>
        <w:rPr>
          <w:rFonts w:ascii="仿宋_GB2312" w:hAnsi="仿宋_GB2312" w:cs="仿宋_GB2312"/>
          <w:color w:val="000000"/>
          <w:szCs w:val="32"/>
        </w:rPr>
        <w:t>.</w:t>
      </w:r>
      <w:r>
        <w:rPr>
          <w:rFonts w:ascii="仿宋_GB2312" w:hAnsi="仿宋_GB2312" w:cs="仿宋_GB2312" w:hint="eastAsia"/>
          <w:color w:val="000000"/>
          <w:szCs w:val="32"/>
        </w:rPr>
        <w:t>建设单位拖欠工程款问题；</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3</w:t>
      </w:r>
      <w:r>
        <w:rPr>
          <w:rFonts w:ascii="仿宋_GB2312" w:hAnsi="仿宋_GB2312" w:cs="仿宋_GB2312"/>
          <w:color w:val="000000"/>
          <w:szCs w:val="32"/>
        </w:rPr>
        <w:t>.</w:t>
      </w:r>
      <w:r>
        <w:rPr>
          <w:rFonts w:ascii="仿宋_GB2312" w:hAnsi="仿宋_GB2312" w:cs="仿宋_GB2312" w:hint="eastAsia"/>
          <w:color w:val="000000"/>
          <w:szCs w:val="32"/>
        </w:rPr>
        <w:t>施工企业拖欠农民工工资问题，特别是</w:t>
      </w:r>
      <w:proofErr w:type="gramStart"/>
      <w:r>
        <w:rPr>
          <w:rFonts w:ascii="仿宋_GB2312" w:hAnsi="仿宋_GB2312" w:cs="仿宋_GB2312" w:hint="eastAsia"/>
          <w:color w:val="000000"/>
          <w:szCs w:val="32"/>
        </w:rPr>
        <w:t>因甲指分包</w:t>
      </w:r>
      <w:proofErr w:type="gramEnd"/>
      <w:r>
        <w:rPr>
          <w:rFonts w:ascii="仿宋_GB2312" w:hAnsi="仿宋_GB2312" w:cs="仿宋_GB2312" w:hint="eastAsia"/>
          <w:color w:val="000000"/>
          <w:szCs w:val="32"/>
        </w:rPr>
        <w:t>导致拖欠农民工工资问题；</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4</w:t>
      </w:r>
      <w:r>
        <w:rPr>
          <w:rFonts w:ascii="仿宋_GB2312" w:hAnsi="仿宋_GB2312" w:cs="仿宋_GB2312"/>
          <w:color w:val="000000"/>
          <w:szCs w:val="32"/>
        </w:rPr>
        <w:t>.</w:t>
      </w:r>
      <w:proofErr w:type="gramStart"/>
      <w:r>
        <w:rPr>
          <w:rFonts w:ascii="仿宋_GB2312" w:hAnsi="仿宋_GB2312" w:cs="仿宋_GB2312" w:hint="eastAsia"/>
          <w:color w:val="000000"/>
          <w:szCs w:val="32"/>
        </w:rPr>
        <w:t>围标串标</w:t>
      </w:r>
      <w:proofErr w:type="gramEnd"/>
      <w:r>
        <w:rPr>
          <w:rFonts w:ascii="仿宋_GB2312" w:hAnsi="仿宋_GB2312" w:cs="仿宋_GB2312" w:hint="eastAsia"/>
          <w:color w:val="000000"/>
          <w:szCs w:val="32"/>
        </w:rPr>
        <w:t>、违法发包、转包挂靠、违法分包等建筑市场违法行为；</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5</w:t>
      </w:r>
      <w:r>
        <w:rPr>
          <w:rFonts w:ascii="仿宋_GB2312" w:hAnsi="仿宋_GB2312" w:cs="仿宋_GB2312"/>
          <w:color w:val="000000"/>
          <w:szCs w:val="32"/>
        </w:rPr>
        <w:t>.</w:t>
      </w:r>
      <w:r>
        <w:rPr>
          <w:rFonts w:ascii="仿宋_GB2312" w:hAnsi="仿宋_GB2312" w:cs="仿宋_GB2312" w:hint="eastAsia"/>
          <w:color w:val="000000"/>
          <w:szCs w:val="32"/>
        </w:rPr>
        <w:t>对上述线索隐患排查不力、整治不到位问题。</w:t>
      </w:r>
    </w:p>
    <w:p w:rsidR="005A4789" w:rsidRDefault="005A4789" w:rsidP="005A4789">
      <w:pPr>
        <w:spacing w:line="540" w:lineRule="exact"/>
        <w:ind w:firstLineChars="200" w:firstLine="614"/>
        <w:rPr>
          <w:rFonts w:ascii="黑体" w:eastAsia="黑体" w:hAnsi="黑体" w:cs="黑体" w:hint="eastAsia"/>
          <w:color w:val="000000"/>
          <w:szCs w:val="32"/>
        </w:rPr>
      </w:pPr>
      <w:r>
        <w:rPr>
          <w:rFonts w:ascii="黑体" w:eastAsia="黑体" w:hAnsi="黑体" w:cs="黑体" w:hint="eastAsia"/>
          <w:color w:val="000000"/>
          <w:szCs w:val="32"/>
        </w:rPr>
        <w:t>三、整治举措</w:t>
      </w:r>
    </w:p>
    <w:p w:rsidR="005A4789" w:rsidRDefault="005A4789" w:rsidP="005A4789">
      <w:pPr>
        <w:spacing w:line="540" w:lineRule="exact"/>
        <w:ind w:firstLineChars="200" w:firstLine="617"/>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t>（一）全面排查欠款欠薪隐患。</w:t>
      </w:r>
      <w:r>
        <w:rPr>
          <w:rFonts w:ascii="仿宋_GB2312" w:hAnsi="仿宋_GB2312" w:cs="仿宋_GB2312" w:hint="eastAsia"/>
          <w:color w:val="000000"/>
          <w:szCs w:val="32"/>
        </w:rPr>
        <w:t>开展欠款欠薪问题调研，摸清防欠制度落实情况，梳理</w:t>
      </w:r>
      <w:proofErr w:type="gramStart"/>
      <w:r>
        <w:rPr>
          <w:rFonts w:ascii="仿宋_GB2312" w:hAnsi="仿宋_GB2312" w:cs="仿宋_GB2312" w:hint="eastAsia"/>
          <w:color w:val="000000"/>
          <w:szCs w:val="32"/>
        </w:rPr>
        <w:t>分析整治</w:t>
      </w:r>
      <w:proofErr w:type="gramEnd"/>
      <w:r>
        <w:rPr>
          <w:rFonts w:ascii="仿宋_GB2312" w:hAnsi="仿宋_GB2312" w:cs="仿宋_GB2312" w:hint="eastAsia"/>
          <w:color w:val="000000"/>
          <w:szCs w:val="32"/>
        </w:rPr>
        <w:t>难点堵点。全面排查在建项目欠款欠薪问题隐患，按照“一个明确二个清单三个到位”排查法，明确责任人，建立排查清单和问题清单，密切跟踪整改、处理、问责到位情况。</w:t>
      </w:r>
    </w:p>
    <w:p w:rsidR="005A4789" w:rsidRDefault="005A4789" w:rsidP="005A4789">
      <w:pPr>
        <w:widowControl/>
        <w:shd w:val="clear" w:color="auto" w:fill="FFFFFF"/>
        <w:spacing w:line="540" w:lineRule="exact"/>
        <w:ind w:firstLineChars="200" w:firstLine="617"/>
        <w:jc w:val="left"/>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t>（二）强化信息化过程监管。</w:t>
      </w:r>
      <w:r>
        <w:rPr>
          <w:rFonts w:ascii="仿宋_GB2312" w:hAnsi="仿宋_GB2312" w:cs="仿宋_GB2312" w:hint="eastAsia"/>
          <w:color w:val="000000"/>
          <w:szCs w:val="32"/>
        </w:rPr>
        <w:t>强化实名制成果运用，发挥省、市级实名制平台作用，持续督促全区所有在建房建、市政项目落实关键岗位人员和建筑工人实名制管理、工程款支付担保、农民工工资支付、工资专户、工资保证金、劳资专管员配备、维</w:t>
      </w:r>
      <w:proofErr w:type="gramStart"/>
      <w:r>
        <w:rPr>
          <w:rFonts w:ascii="仿宋_GB2312" w:hAnsi="仿宋_GB2312" w:cs="仿宋_GB2312" w:hint="eastAsia"/>
          <w:color w:val="000000"/>
          <w:szCs w:val="32"/>
        </w:rPr>
        <w:t>权信息</w:t>
      </w:r>
      <w:proofErr w:type="gramEnd"/>
      <w:r>
        <w:rPr>
          <w:rFonts w:ascii="仿宋_GB2312" w:hAnsi="仿宋_GB2312" w:cs="仿宋_GB2312" w:hint="eastAsia"/>
          <w:color w:val="000000"/>
          <w:szCs w:val="32"/>
        </w:rPr>
        <w:t>公示等制度，将制度落实情况纳入季度合同履约评价，压实企业主体责任。全面核查工程款支付担保落实情况，压实建设单位首要责任，逐步推行差异化管理，延伸建立工程款拖欠预警机制，全流程监控拨付情况，主动处置欠款隐患。</w:t>
      </w:r>
    </w:p>
    <w:p w:rsidR="005A4789" w:rsidRDefault="005A4789" w:rsidP="005A4789">
      <w:pPr>
        <w:widowControl/>
        <w:shd w:val="clear" w:color="auto" w:fill="FFFFFF"/>
        <w:spacing w:line="540" w:lineRule="exact"/>
        <w:ind w:firstLineChars="200" w:firstLine="617"/>
        <w:jc w:val="left"/>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lastRenderedPageBreak/>
        <w:t>（三）高压打击，严肃查处违法行为。</w:t>
      </w:r>
      <w:r>
        <w:rPr>
          <w:rFonts w:ascii="仿宋_GB2312" w:hAnsi="仿宋_GB2312" w:cs="仿宋_GB2312" w:hint="eastAsia"/>
          <w:color w:val="000000"/>
          <w:szCs w:val="32"/>
        </w:rPr>
        <w:t>运用大数据分析功能，重点核查近两年内欠薪失信联合惩戒、发生质量安全事故、资质造假、</w:t>
      </w:r>
      <w:proofErr w:type="gramStart"/>
      <w:r>
        <w:rPr>
          <w:rFonts w:ascii="仿宋_GB2312" w:hAnsi="仿宋_GB2312" w:cs="仿宋_GB2312" w:hint="eastAsia"/>
          <w:color w:val="000000"/>
          <w:szCs w:val="32"/>
        </w:rPr>
        <w:t>围标串标</w:t>
      </w:r>
      <w:proofErr w:type="gramEnd"/>
      <w:r>
        <w:rPr>
          <w:rFonts w:ascii="仿宋_GB2312" w:hAnsi="仿宋_GB2312" w:cs="仿宋_GB2312" w:hint="eastAsia"/>
          <w:color w:val="000000"/>
          <w:szCs w:val="32"/>
        </w:rPr>
        <w:t>、转包挂靠的企业承建项目的建筑市场行为。坚持“双倒查”制度，对于发生欠款欠薪行为的企业，进一步核查其是否存在转包、违法分包、挂靠等违法行为。强化实名管理、工程款监测与建筑市场联动机制，以项目管理人员未到岗履职和社保缴交异常情况为线索，严厉打击建筑市场违法行为。</w:t>
      </w:r>
    </w:p>
    <w:p w:rsidR="005A4789" w:rsidRDefault="005A4789" w:rsidP="005A4789">
      <w:pPr>
        <w:widowControl/>
        <w:shd w:val="clear" w:color="auto" w:fill="FFFFFF"/>
        <w:spacing w:line="540" w:lineRule="exact"/>
        <w:ind w:firstLineChars="200" w:firstLine="617"/>
        <w:jc w:val="left"/>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t>（四）重点突破，强化“甲指分包”行为查处。</w:t>
      </w:r>
      <w:r>
        <w:rPr>
          <w:rFonts w:ascii="仿宋_GB2312" w:hAnsi="仿宋_GB2312" w:cs="仿宋_GB2312" w:hint="eastAsia"/>
          <w:color w:val="000000"/>
          <w:szCs w:val="32"/>
        </w:rPr>
        <w:t>贯彻落实《福建省人力资源和社会保障厅 福建省住房和城乡建设厅关于进一步规范工程建设领域工资支付行为的通知》（闽人社文〔2023〕31号），治理“甲指分包”问题，重点核查项目施工合同和资金往来情况，督促问题项目立即整改，并按违法发包行为予以查处。压实建设单位工资清欠责任以及参建各方管理责任，督促项目落实各项长效制度。</w:t>
      </w:r>
    </w:p>
    <w:p w:rsidR="005A4789" w:rsidRDefault="005A4789" w:rsidP="005A4789">
      <w:pPr>
        <w:spacing w:line="540" w:lineRule="exact"/>
        <w:ind w:firstLineChars="200" w:firstLine="617"/>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t>（五）开展专项督导行动。</w:t>
      </w:r>
      <w:r>
        <w:rPr>
          <w:rFonts w:ascii="仿宋_GB2312" w:hAnsi="仿宋_GB2312" w:cs="仿宋_GB2312" w:hint="eastAsia"/>
          <w:color w:val="000000"/>
          <w:szCs w:val="32"/>
        </w:rPr>
        <w:t>着力巩固落实工程款支付担保等制度，依托省、市级实名制平台持续进行线上动态排查，实现制度</w:t>
      </w:r>
      <w:proofErr w:type="gramStart"/>
      <w:r>
        <w:rPr>
          <w:rFonts w:ascii="仿宋_GB2312" w:hAnsi="仿宋_GB2312" w:cs="仿宋_GB2312" w:hint="eastAsia"/>
          <w:color w:val="000000"/>
          <w:szCs w:val="32"/>
        </w:rPr>
        <w:t>落实全</w:t>
      </w:r>
      <w:proofErr w:type="gramEnd"/>
      <w:r>
        <w:rPr>
          <w:rFonts w:ascii="仿宋_GB2312" w:hAnsi="仿宋_GB2312" w:cs="仿宋_GB2312" w:hint="eastAsia"/>
          <w:color w:val="000000"/>
          <w:szCs w:val="32"/>
        </w:rPr>
        <w:t>覆盖；持续增强基层队伍执法力、落实力，对于</w:t>
      </w:r>
      <w:r>
        <w:rPr>
          <w:rFonts w:ascii="仿宋_GB2312" w:hAnsi="仿宋_GB2312" w:cs="仿宋_GB2312"/>
          <w:color w:val="000000"/>
          <w:szCs w:val="32"/>
        </w:rPr>
        <w:t>隐患问题</w:t>
      </w:r>
      <w:r>
        <w:rPr>
          <w:rFonts w:ascii="仿宋_GB2312" w:hAnsi="仿宋_GB2312" w:cs="仿宋_GB2312" w:hint="eastAsia"/>
          <w:color w:val="000000"/>
          <w:szCs w:val="32"/>
        </w:rPr>
        <w:t>排查不力、整改</w:t>
      </w:r>
      <w:r>
        <w:rPr>
          <w:rFonts w:ascii="仿宋_GB2312" w:hAnsi="仿宋_GB2312" w:cs="仿宋_GB2312"/>
          <w:color w:val="000000"/>
          <w:szCs w:val="32"/>
        </w:rPr>
        <w:t>不到位</w:t>
      </w:r>
      <w:r>
        <w:rPr>
          <w:rFonts w:ascii="仿宋_GB2312" w:hAnsi="仿宋_GB2312" w:cs="仿宋_GB2312" w:hint="eastAsia"/>
          <w:color w:val="000000"/>
          <w:szCs w:val="32"/>
        </w:rPr>
        <w:t>的</w:t>
      </w:r>
      <w:r>
        <w:rPr>
          <w:rFonts w:ascii="仿宋_GB2312" w:hAnsi="仿宋_GB2312" w:cs="仿宋_GB2312"/>
          <w:color w:val="000000"/>
          <w:szCs w:val="32"/>
        </w:rPr>
        <w:t>，</w:t>
      </w:r>
      <w:r>
        <w:rPr>
          <w:rFonts w:ascii="仿宋_GB2312" w:hAnsi="仿宋_GB2312" w:cs="仿宋_GB2312" w:hint="eastAsia"/>
          <w:color w:val="000000"/>
          <w:szCs w:val="32"/>
        </w:rPr>
        <w:t>开展专项督导行动，以落实根治欠款欠薪各项政策制度为主线，以线上线下一体化监管为抓手，推动制度“全覆盖、实运转”。</w:t>
      </w:r>
    </w:p>
    <w:p w:rsidR="005A4789" w:rsidRDefault="005A4789" w:rsidP="005A4789">
      <w:pPr>
        <w:spacing w:line="540" w:lineRule="exact"/>
        <w:ind w:firstLineChars="200" w:firstLine="617"/>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t>（六）持续完善长效机制。</w:t>
      </w:r>
      <w:r>
        <w:rPr>
          <w:rFonts w:ascii="仿宋_GB2312" w:hAnsi="仿宋_GB2312" w:cs="仿宋_GB2312" w:hint="eastAsia"/>
          <w:color w:val="000000"/>
          <w:szCs w:val="32"/>
        </w:rPr>
        <w:t>利用我市建筑施工企业信用平台，将欠薪欠款列入信用评价范畴，加大信用扣分力度，涉及恶意欠薪欠款的市场主体予以顶格信用扣分；进一步推行项目过程结算，重点在国企项目推行；积极调解工程款纠纷问题，压实源头防范、过</w:t>
      </w:r>
      <w:r>
        <w:rPr>
          <w:rFonts w:ascii="仿宋_GB2312" w:hAnsi="仿宋_GB2312" w:cs="仿宋_GB2312" w:hint="eastAsia"/>
          <w:color w:val="000000"/>
          <w:szCs w:val="32"/>
        </w:rPr>
        <w:lastRenderedPageBreak/>
        <w:t>程监控、案件处置等环节的责任，形成欠款欠薪问题监管处置全闭环。</w:t>
      </w:r>
    </w:p>
    <w:p w:rsidR="005A4789" w:rsidRDefault="005A4789" w:rsidP="005A4789">
      <w:pPr>
        <w:spacing w:line="540" w:lineRule="exact"/>
        <w:ind w:firstLineChars="200" w:firstLine="614"/>
        <w:rPr>
          <w:rFonts w:ascii="黑体" w:eastAsia="黑体" w:hAnsi="黑体" w:cs="黑体" w:hint="eastAsia"/>
          <w:color w:val="000000"/>
          <w:szCs w:val="32"/>
        </w:rPr>
      </w:pPr>
      <w:r>
        <w:rPr>
          <w:rFonts w:ascii="黑体" w:eastAsia="黑体" w:hAnsi="黑体" w:cs="黑体" w:hint="eastAsia"/>
          <w:color w:val="000000"/>
          <w:szCs w:val="32"/>
        </w:rPr>
        <w:t>四、主要工作安排</w:t>
      </w:r>
    </w:p>
    <w:p w:rsidR="005A4789" w:rsidRDefault="005A4789" w:rsidP="005A4789">
      <w:pPr>
        <w:spacing w:line="540" w:lineRule="exact"/>
        <w:ind w:firstLineChars="200" w:firstLine="617"/>
        <w:rPr>
          <w:rFonts w:ascii="楷体_GB2312" w:eastAsia="楷体_GB2312" w:hAnsi="楷体_GB2312" w:cs="楷体_GB2312" w:hint="eastAsia"/>
          <w:b/>
          <w:bCs/>
          <w:color w:val="000000"/>
          <w:szCs w:val="32"/>
        </w:rPr>
      </w:pPr>
      <w:r>
        <w:rPr>
          <w:rFonts w:ascii="楷体_GB2312" w:eastAsia="楷体_GB2312" w:hAnsi="楷体_GB2312" w:cs="楷体_GB2312" w:hint="eastAsia"/>
          <w:b/>
          <w:bCs/>
          <w:color w:val="000000"/>
          <w:szCs w:val="32"/>
        </w:rPr>
        <w:t>（一）问题调研和方案制定阶段（7月底）</w:t>
      </w:r>
    </w:p>
    <w:p w:rsidR="005A4789" w:rsidRDefault="005A4789" w:rsidP="005A4789">
      <w:pPr>
        <w:spacing w:line="540" w:lineRule="exact"/>
        <w:ind w:firstLineChars="200" w:firstLine="614"/>
        <w:rPr>
          <w:rFonts w:ascii="仿宋_GB2312" w:hAnsi="仿宋_GB2312" w:cs="仿宋_GB2312"/>
          <w:color w:val="000000"/>
          <w:szCs w:val="32"/>
        </w:rPr>
      </w:pPr>
      <w:r>
        <w:rPr>
          <w:rFonts w:ascii="仿宋_GB2312" w:hAnsi="仿宋_GB2312" w:cs="仿宋_GB2312" w:hint="eastAsia"/>
          <w:color w:val="000000"/>
          <w:szCs w:val="32"/>
        </w:rPr>
        <w:t>区住</w:t>
      </w:r>
      <w:proofErr w:type="gramStart"/>
      <w:r>
        <w:rPr>
          <w:rFonts w:ascii="仿宋_GB2312" w:hAnsi="仿宋_GB2312" w:cs="仿宋_GB2312" w:hint="eastAsia"/>
          <w:color w:val="000000"/>
          <w:szCs w:val="32"/>
        </w:rPr>
        <w:t>建部门和人社部门</w:t>
      </w:r>
      <w:proofErr w:type="gramEnd"/>
      <w:r>
        <w:rPr>
          <w:rFonts w:ascii="仿宋_GB2312" w:hAnsi="仿宋_GB2312" w:cs="仿宋_GB2312"/>
          <w:color w:val="000000"/>
          <w:szCs w:val="32"/>
        </w:rPr>
        <w:t>结合调研情况和</w:t>
      </w:r>
      <w:r>
        <w:rPr>
          <w:rFonts w:ascii="仿宋_GB2312" w:hAnsi="仿宋_GB2312" w:cs="仿宋_GB2312" w:hint="eastAsia"/>
          <w:color w:val="000000"/>
          <w:szCs w:val="32"/>
        </w:rPr>
        <w:t>我区</w:t>
      </w:r>
      <w:r>
        <w:rPr>
          <w:rFonts w:ascii="仿宋_GB2312" w:hAnsi="仿宋_GB2312" w:cs="仿宋_GB2312"/>
          <w:color w:val="000000"/>
          <w:szCs w:val="32"/>
        </w:rPr>
        <w:t>工作实际，制定整治工作方案。摸清我</w:t>
      </w:r>
      <w:r>
        <w:rPr>
          <w:rFonts w:ascii="仿宋_GB2312" w:hAnsi="仿宋_GB2312" w:cs="仿宋_GB2312" w:hint="eastAsia"/>
          <w:color w:val="000000"/>
          <w:szCs w:val="32"/>
        </w:rPr>
        <w:t>区</w:t>
      </w:r>
      <w:r>
        <w:rPr>
          <w:rFonts w:ascii="仿宋_GB2312" w:hAnsi="仿宋_GB2312" w:cs="仿宋_GB2312"/>
          <w:color w:val="000000"/>
          <w:szCs w:val="32"/>
        </w:rPr>
        <w:t>在建项目欠款欠薪情况、工程款支付担保和工资专户等制度落实情况，列出问题清单，梳理分析拖欠产生深层次原因，提出化解问题隐患有力有效举措。召开专项整治工作部署会，全面动员部署扎实推进专项整治。</w:t>
      </w:r>
    </w:p>
    <w:p w:rsidR="005A4789" w:rsidRDefault="005A4789" w:rsidP="005A4789">
      <w:pPr>
        <w:spacing w:line="540" w:lineRule="exact"/>
        <w:ind w:firstLineChars="200" w:firstLine="617"/>
        <w:rPr>
          <w:rFonts w:ascii="楷体_GB2312" w:eastAsia="楷体_GB2312" w:hAnsi="楷体_GB2312" w:cs="楷体_GB2312" w:hint="eastAsia"/>
          <w:b/>
          <w:bCs/>
          <w:color w:val="000000"/>
          <w:szCs w:val="32"/>
        </w:rPr>
      </w:pPr>
      <w:r>
        <w:rPr>
          <w:rFonts w:ascii="楷体_GB2312" w:eastAsia="楷体_GB2312" w:hAnsi="楷体_GB2312" w:cs="楷体_GB2312" w:hint="eastAsia"/>
          <w:b/>
          <w:bCs/>
          <w:color w:val="000000"/>
          <w:szCs w:val="32"/>
        </w:rPr>
        <w:t>（二）全面排查阶段（11月底前）</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区住</w:t>
      </w:r>
      <w:proofErr w:type="gramStart"/>
      <w:r>
        <w:rPr>
          <w:rFonts w:ascii="仿宋_GB2312" w:hAnsi="仿宋_GB2312" w:cs="仿宋_GB2312" w:hint="eastAsia"/>
          <w:color w:val="000000"/>
          <w:szCs w:val="32"/>
        </w:rPr>
        <w:t>建部门和人社部门</w:t>
      </w:r>
      <w:proofErr w:type="gramEnd"/>
      <w:r>
        <w:rPr>
          <w:rFonts w:ascii="仿宋_GB2312" w:hAnsi="仿宋_GB2312" w:cs="仿宋_GB2312" w:hint="eastAsia"/>
          <w:color w:val="000000"/>
          <w:szCs w:val="32"/>
        </w:rPr>
        <w:t>对在建项目拖欠工程款和农民工工资问题进行全面排查，督促问题项目落实整改。各在建项目、责任单位对照专项整治内容开展自查自纠，建立欠款欠薪摸排清单和问题清单，明确化解时限，责任到人。</w:t>
      </w:r>
      <w:r>
        <w:rPr>
          <w:rFonts w:ascii="仿宋_GB2312" w:hAnsi="仿宋_GB2312" w:cs="仿宋_GB2312"/>
          <w:color w:val="000000"/>
          <w:szCs w:val="32"/>
        </w:rPr>
        <w:t>充分利用工程款监控预警系统和省</w:t>
      </w:r>
      <w:r>
        <w:rPr>
          <w:rFonts w:ascii="仿宋_GB2312" w:hAnsi="仿宋_GB2312" w:cs="仿宋_GB2312" w:hint="eastAsia"/>
          <w:color w:val="000000"/>
          <w:szCs w:val="32"/>
        </w:rPr>
        <w:t>、市</w:t>
      </w:r>
      <w:r>
        <w:rPr>
          <w:rFonts w:ascii="仿宋_GB2312" w:hAnsi="仿宋_GB2312" w:cs="仿宋_GB2312"/>
          <w:color w:val="000000"/>
          <w:szCs w:val="32"/>
        </w:rPr>
        <w:t>级实名制平台预警分析功能</w:t>
      </w:r>
      <w:r>
        <w:rPr>
          <w:rFonts w:ascii="仿宋_GB2312" w:hAnsi="仿宋_GB2312" w:cs="仿宋_GB2312" w:hint="eastAsia"/>
          <w:color w:val="000000"/>
          <w:szCs w:val="32"/>
        </w:rPr>
        <w:t>，及时预警欠款欠薪隐患并督促</w:t>
      </w:r>
      <w:proofErr w:type="gramStart"/>
      <w:r>
        <w:rPr>
          <w:rFonts w:ascii="仿宋_GB2312" w:hAnsi="仿宋_GB2312" w:cs="仿宋_GB2312" w:hint="eastAsia"/>
          <w:color w:val="000000"/>
          <w:szCs w:val="32"/>
        </w:rPr>
        <w:t>立整立改</w:t>
      </w:r>
      <w:proofErr w:type="gramEnd"/>
      <w:r>
        <w:rPr>
          <w:rFonts w:ascii="仿宋_GB2312" w:hAnsi="仿宋_GB2312" w:cs="仿宋_GB2312" w:hint="eastAsia"/>
          <w:color w:val="000000"/>
          <w:szCs w:val="32"/>
        </w:rPr>
        <w:t>。全面核查在建项目工程款支付担保、工资保证金、工资专户制度落实情况，对整改不到位的依法依规予以行政处罚。开展建筑市场监督检查，以“甲指分包”为重点，严肃查处建筑市场违法行为。</w:t>
      </w:r>
    </w:p>
    <w:p w:rsidR="005A4789" w:rsidRDefault="005A4789" w:rsidP="005A4789">
      <w:pPr>
        <w:spacing w:line="540" w:lineRule="exact"/>
        <w:ind w:firstLineChars="200" w:firstLine="617"/>
        <w:rPr>
          <w:rFonts w:ascii="楷体_GB2312" w:eastAsia="楷体_GB2312" w:hAnsi="楷体_GB2312" w:cs="楷体_GB2312" w:hint="eastAsia"/>
          <w:b/>
          <w:bCs/>
          <w:color w:val="000000"/>
          <w:szCs w:val="32"/>
        </w:rPr>
      </w:pPr>
      <w:r>
        <w:rPr>
          <w:rFonts w:ascii="楷体_GB2312" w:eastAsia="楷体_GB2312" w:hAnsi="楷体_GB2312" w:cs="楷体_GB2312" w:hint="eastAsia"/>
          <w:b/>
          <w:bCs/>
          <w:color w:val="000000"/>
          <w:szCs w:val="32"/>
        </w:rPr>
        <w:t>（三）整改迎检阶段（7月底）</w:t>
      </w:r>
    </w:p>
    <w:p w:rsidR="005A4789" w:rsidRDefault="005A4789" w:rsidP="005A4789">
      <w:pPr>
        <w:spacing w:line="540" w:lineRule="exact"/>
        <w:ind w:firstLineChars="200" w:firstLine="614"/>
        <w:rPr>
          <w:rFonts w:ascii="仿宋_GB2312" w:hAnsi="仿宋_GB2312" w:cs="仿宋_GB2312"/>
          <w:color w:val="000000"/>
          <w:szCs w:val="32"/>
        </w:rPr>
      </w:pPr>
      <w:r>
        <w:rPr>
          <w:rFonts w:ascii="仿宋_GB2312" w:hAnsi="仿宋_GB2312" w:cs="仿宋_GB2312" w:hint="eastAsia"/>
          <w:color w:val="000000"/>
          <w:szCs w:val="32"/>
        </w:rPr>
        <w:t>推进部、省、市三级工资支付监控平台数据对接，加大项目平台信息不匹配等问题的整改力度，全面提升实名制管理水平，确保一体化平台占比、实名制更新率、项目平均上班人数、管理人员到岗率等“国考”考核指标动态达标。对照实地核查规程，进一步完</w:t>
      </w:r>
      <w:r>
        <w:rPr>
          <w:rFonts w:ascii="仿宋_GB2312" w:hAnsi="仿宋_GB2312" w:cs="仿宋_GB2312" w:hint="eastAsia"/>
          <w:color w:val="000000"/>
          <w:szCs w:val="32"/>
        </w:rPr>
        <w:lastRenderedPageBreak/>
        <w:t>善考核佐证材料，确保迎接国务院保障农民工工资支付考核顺利完成。</w:t>
      </w:r>
    </w:p>
    <w:p w:rsidR="005A4789" w:rsidRDefault="005A4789" w:rsidP="005A4789">
      <w:pPr>
        <w:spacing w:line="540" w:lineRule="exact"/>
        <w:ind w:firstLineChars="200" w:firstLine="617"/>
        <w:rPr>
          <w:rFonts w:ascii="楷体_GB2312" w:eastAsia="楷体_GB2312" w:hAnsi="楷体_GB2312" w:cs="楷体_GB2312" w:hint="eastAsia"/>
          <w:b/>
          <w:bCs/>
          <w:color w:val="000000"/>
          <w:szCs w:val="32"/>
        </w:rPr>
      </w:pPr>
      <w:r>
        <w:rPr>
          <w:rFonts w:ascii="楷体_GB2312" w:eastAsia="楷体_GB2312" w:hAnsi="楷体_GB2312" w:cs="楷体_GB2312" w:hint="eastAsia"/>
          <w:b/>
          <w:bCs/>
          <w:color w:val="000000"/>
          <w:szCs w:val="32"/>
        </w:rPr>
        <w:t>（四）中期评估阶段（9月底前）</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开展中期评估，区级有关部门组成联合检查组赴各在建工程项目进行实地检查。对工作不力的项目、单位和人员，进行约谈和通报；对投诉举报集中、问题较多的单位，报纪检监察部门予以联合督促；公布一批整治成果，进一步营造浓厚氛围。</w:t>
      </w:r>
    </w:p>
    <w:p w:rsidR="005A4789" w:rsidRDefault="005A4789" w:rsidP="005A4789">
      <w:pPr>
        <w:spacing w:line="540" w:lineRule="exact"/>
        <w:ind w:firstLineChars="200" w:firstLine="617"/>
        <w:rPr>
          <w:rFonts w:ascii="楷体_GB2312" w:eastAsia="楷体_GB2312" w:hAnsi="楷体_GB2312" w:cs="楷体_GB2312" w:hint="eastAsia"/>
          <w:b/>
          <w:bCs/>
          <w:color w:val="000000"/>
          <w:szCs w:val="32"/>
        </w:rPr>
      </w:pPr>
      <w:r>
        <w:rPr>
          <w:rFonts w:ascii="楷体_GB2312" w:eastAsia="楷体_GB2312" w:hAnsi="楷体_GB2312" w:cs="楷体_GB2312" w:hint="eastAsia"/>
          <w:b/>
          <w:bCs/>
          <w:color w:val="000000"/>
          <w:szCs w:val="32"/>
        </w:rPr>
        <w:t>（五）验收巩固阶段（12月底前）</w:t>
      </w:r>
    </w:p>
    <w:p w:rsidR="005A4789" w:rsidRDefault="005A4789" w:rsidP="005A4789">
      <w:pPr>
        <w:spacing w:line="540" w:lineRule="exact"/>
        <w:ind w:firstLineChars="200" w:firstLine="614"/>
        <w:rPr>
          <w:rFonts w:ascii="仿宋_GB2312" w:hAnsi="仿宋_GB2312" w:cs="仿宋_GB2312"/>
          <w:color w:val="000000"/>
          <w:szCs w:val="32"/>
        </w:rPr>
      </w:pPr>
      <w:r>
        <w:rPr>
          <w:rFonts w:ascii="仿宋_GB2312" w:hAnsi="仿宋_GB2312" w:cs="仿宋_GB2312" w:hint="eastAsia"/>
          <w:color w:val="000000"/>
          <w:szCs w:val="32"/>
        </w:rPr>
        <w:t>集中开展成果宣传活动，切实提升群众“知晓率”、“满意率”、“支持率”。同时，对专项整治情况进行分析总结，</w:t>
      </w:r>
      <w:proofErr w:type="gramStart"/>
      <w:r>
        <w:rPr>
          <w:rFonts w:ascii="仿宋_GB2312" w:hAnsi="仿宋_GB2312" w:cs="仿宋_GB2312" w:hint="eastAsia"/>
          <w:color w:val="000000"/>
          <w:szCs w:val="32"/>
        </w:rPr>
        <w:t>通报整治</w:t>
      </w:r>
      <w:proofErr w:type="gramEnd"/>
      <w:r>
        <w:rPr>
          <w:rFonts w:ascii="仿宋_GB2312" w:hAnsi="仿宋_GB2312" w:cs="仿宋_GB2312" w:hint="eastAsia"/>
          <w:color w:val="000000"/>
          <w:szCs w:val="32"/>
        </w:rPr>
        <w:t>情况，梳理存在的问题，总结经验做法，及时制定或完善相关制度，进一步巩固提升整治成果。</w:t>
      </w:r>
    </w:p>
    <w:p w:rsidR="005A4789" w:rsidRDefault="005A4789" w:rsidP="005A4789">
      <w:pPr>
        <w:spacing w:line="540" w:lineRule="exact"/>
        <w:ind w:firstLineChars="200" w:firstLine="614"/>
        <w:rPr>
          <w:rFonts w:ascii="黑体" w:eastAsia="黑体" w:hAnsi="黑体" w:cs="黑体" w:hint="eastAsia"/>
          <w:color w:val="000000"/>
          <w:szCs w:val="32"/>
        </w:rPr>
      </w:pPr>
      <w:r>
        <w:rPr>
          <w:rFonts w:ascii="黑体" w:eastAsia="黑体" w:hAnsi="黑体" w:cs="黑体" w:hint="eastAsia"/>
          <w:color w:val="000000"/>
          <w:szCs w:val="32"/>
        </w:rPr>
        <w:t>五、工作要求</w:t>
      </w:r>
    </w:p>
    <w:p w:rsidR="005A4789" w:rsidRDefault="005A4789" w:rsidP="005A4789">
      <w:pPr>
        <w:snapToGrid w:val="0"/>
        <w:spacing w:line="540" w:lineRule="exact"/>
        <w:ind w:firstLineChars="200" w:firstLine="617"/>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t>（一）加强组织领导。</w:t>
      </w:r>
      <w:r>
        <w:rPr>
          <w:rFonts w:ascii="仿宋_GB2312" w:hAnsi="仿宋_GB2312" w:cs="仿宋_GB2312" w:hint="eastAsia"/>
          <w:color w:val="000000"/>
          <w:szCs w:val="32"/>
        </w:rPr>
        <w:t>成立全区“点题整治”工作领导小组，全面推进整治工作。各在建工程项目参照建立相应工作机制，坚持问题导向，严格分类实施，对照清单逐项抓实，坚决整治到位。</w:t>
      </w:r>
    </w:p>
    <w:p w:rsidR="005A4789" w:rsidRDefault="005A4789" w:rsidP="005A4789">
      <w:pPr>
        <w:spacing w:line="540" w:lineRule="exact"/>
        <w:ind w:firstLineChars="200" w:firstLine="617"/>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t>（二）强化层级指导。</w:t>
      </w:r>
      <w:r>
        <w:rPr>
          <w:rFonts w:ascii="仿宋_GB2312" w:hAnsi="仿宋_GB2312" w:cs="仿宋_GB2312" w:hint="eastAsia"/>
          <w:color w:val="000000"/>
          <w:szCs w:val="32"/>
        </w:rPr>
        <w:t>区住建、</w:t>
      </w:r>
      <w:proofErr w:type="gramStart"/>
      <w:r>
        <w:rPr>
          <w:rFonts w:ascii="仿宋_GB2312" w:hAnsi="仿宋_GB2312" w:cs="仿宋_GB2312" w:hint="eastAsia"/>
          <w:color w:val="000000"/>
          <w:szCs w:val="32"/>
        </w:rPr>
        <w:t>人社部门</w:t>
      </w:r>
      <w:proofErr w:type="gramEnd"/>
      <w:r>
        <w:rPr>
          <w:rFonts w:ascii="仿宋_GB2312" w:hAnsi="仿宋_GB2312" w:cs="仿宋_GB2312" w:hint="eastAsia"/>
          <w:color w:val="000000"/>
          <w:szCs w:val="32"/>
        </w:rPr>
        <w:t>根据各自管理职责，落实工作责任，开展合同履约评价、工程款支付担保等工作的培训指导，对新开工项目进行靠前服务指导，不定期晾晒通报各在建工程项目推动落实情况。</w:t>
      </w:r>
    </w:p>
    <w:p w:rsidR="005A4789" w:rsidRDefault="005A4789" w:rsidP="005A4789">
      <w:pPr>
        <w:pStyle w:val="a5"/>
        <w:widowControl/>
        <w:shd w:val="clear" w:color="auto" w:fill="FFFFFF"/>
        <w:spacing w:before="0" w:beforeAutospacing="0" w:after="0" w:afterAutospacing="0" w:line="540" w:lineRule="exact"/>
        <w:ind w:firstLineChars="200" w:firstLine="617"/>
        <w:rPr>
          <w:rFonts w:ascii="仿宋_GB2312" w:eastAsia="仿宋_GB2312" w:hAnsi="仿宋_GB2312" w:cs="仿宋_GB2312" w:hint="eastAsia"/>
          <w:color w:val="000000"/>
          <w:kern w:val="2"/>
          <w:sz w:val="32"/>
          <w:szCs w:val="32"/>
        </w:rPr>
      </w:pPr>
      <w:r>
        <w:rPr>
          <w:rFonts w:ascii="楷体_GB2312" w:eastAsia="楷体_GB2312" w:hAnsi="楷体_GB2312" w:cs="楷体_GB2312" w:hint="eastAsia"/>
          <w:b/>
          <w:bCs/>
          <w:color w:val="000000"/>
          <w:kern w:val="2"/>
          <w:sz w:val="32"/>
          <w:szCs w:val="32"/>
        </w:rPr>
        <w:t>（三）实施开门整治。</w:t>
      </w:r>
      <w:r>
        <w:rPr>
          <w:rFonts w:ascii="仿宋_GB2312" w:eastAsia="仿宋_GB2312" w:hAnsi="仿宋_GB2312" w:cs="仿宋_GB2312" w:hint="eastAsia"/>
          <w:color w:val="000000"/>
          <w:kern w:val="2"/>
          <w:sz w:val="32"/>
          <w:szCs w:val="32"/>
        </w:rPr>
        <w:t>各责任单位进一步畅通举报投诉渠道，指定专人负责，及时回应群众诉求。动态公布整治情况，接受群众监督。加强行业宣传力度，推动宣传活动建设单位、施工企业、工程项目全覆盖，提高群众参与度，知晓率、满意率和支持率持续提</w:t>
      </w:r>
      <w:r>
        <w:rPr>
          <w:rFonts w:ascii="仿宋_GB2312" w:eastAsia="仿宋_GB2312" w:hAnsi="仿宋_GB2312" w:cs="仿宋_GB2312" w:hint="eastAsia"/>
          <w:color w:val="000000"/>
          <w:kern w:val="2"/>
          <w:sz w:val="32"/>
          <w:szCs w:val="32"/>
        </w:rPr>
        <w:lastRenderedPageBreak/>
        <w:t>升。总结正面案例，遴选一批工程款和工资支付示范项目并组织观摩；通报一批恶意欠款欠薪案件，在行业形成威慑作用。</w:t>
      </w:r>
    </w:p>
    <w:p w:rsidR="005A4789" w:rsidRDefault="005A4789" w:rsidP="005A4789">
      <w:pPr>
        <w:spacing w:line="540" w:lineRule="exact"/>
        <w:ind w:firstLineChars="200" w:firstLine="617"/>
        <w:rPr>
          <w:rFonts w:ascii="仿宋_GB2312" w:hAnsi="仿宋_GB2312" w:cs="仿宋_GB2312" w:hint="eastAsia"/>
          <w:color w:val="000000"/>
          <w:szCs w:val="32"/>
        </w:rPr>
      </w:pPr>
      <w:r>
        <w:rPr>
          <w:rFonts w:ascii="楷体_GB2312" w:eastAsia="楷体_GB2312" w:hAnsi="楷体_GB2312" w:cs="楷体_GB2312" w:hint="eastAsia"/>
          <w:b/>
          <w:bCs/>
          <w:color w:val="000000"/>
          <w:szCs w:val="32"/>
        </w:rPr>
        <w:t>（四）加强信息报送。</w:t>
      </w:r>
      <w:r>
        <w:rPr>
          <w:rFonts w:ascii="仿宋_GB2312" w:hAnsi="仿宋_GB2312" w:cs="仿宋_GB2312" w:hint="eastAsia"/>
          <w:color w:val="000000"/>
          <w:szCs w:val="32"/>
        </w:rPr>
        <w:t>各在建工程项目、单位务必于每月22日前将《拖欠工程款问题线索台账表》（附件2.2）报区住</w:t>
      </w:r>
      <w:proofErr w:type="gramStart"/>
      <w:r>
        <w:rPr>
          <w:rFonts w:ascii="仿宋_GB2312" w:hAnsi="仿宋_GB2312" w:cs="仿宋_GB2312" w:hint="eastAsia"/>
          <w:color w:val="000000"/>
          <w:szCs w:val="32"/>
        </w:rPr>
        <w:t>建主管</w:t>
      </w:r>
      <w:proofErr w:type="gramEnd"/>
      <w:r>
        <w:rPr>
          <w:rFonts w:ascii="仿宋_GB2312" w:hAnsi="仿宋_GB2312" w:cs="仿宋_GB2312" w:hint="eastAsia"/>
          <w:color w:val="000000"/>
          <w:szCs w:val="32"/>
        </w:rPr>
        <w:t>部门汇总，于每月1日前将《工程建设项目发放农民工工资自查自纠月报表》（附件2.3）报</w:t>
      </w:r>
      <w:proofErr w:type="gramStart"/>
      <w:r>
        <w:rPr>
          <w:rFonts w:ascii="仿宋_GB2312" w:hAnsi="仿宋_GB2312" w:cs="仿宋_GB2312" w:hint="eastAsia"/>
          <w:color w:val="000000"/>
          <w:szCs w:val="32"/>
        </w:rPr>
        <w:t>区人社主管</w:t>
      </w:r>
      <w:proofErr w:type="gramEnd"/>
      <w:r>
        <w:rPr>
          <w:rFonts w:ascii="仿宋_GB2312" w:hAnsi="仿宋_GB2312" w:cs="仿宋_GB2312" w:hint="eastAsia"/>
          <w:color w:val="000000"/>
          <w:szCs w:val="32"/>
        </w:rPr>
        <w:t>部门汇总。未如实报送情况的，一经查实，将予以严肃处理。</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区住建局</w:t>
      </w:r>
      <w:r>
        <w:rPr>
          <w:rFonts w:ascii="仿宋_GB2312" w:hAnsi="仿宋_GB2312" w:cs="仿宋_GB2312"/>
          <w:color w:val="000000"/>
          <w:szCs w:val="32"/>
        </w:rPr>
        <w:t>（主要受理在建工程项目拖欠工程</w:t>
      </w:r>
      <w:proofErr w:type="gramStart"/>
      <w:r>
        <w:rPr>
          <w:rFonts w:ascii="仿宋_GB2312" w:hAnsi="仿宋_GB2312" w:cs="仿宋_GB2312"/>
          <w:color w:val="000000"/>
          <w:szCs w:val="32"/>
        </w:rPr>
        <w:t>款方面</w:t>
      </w:r>
      <w:proofErr w:type="gramEnd"/>
      <w:r>
        <w:rPr>
          <w:rFonts w:ascii="仿宋_GB2312" w:hAnsi="仿宋_GB2312" w:cs="仿宋_GB2312"/>
          <w:color w:val="000000"/>
          <w:szCs w:val="32"/>
        </w:rPr>
        <w:t>问题）</w:t>
      </w:r>
      <w:r>
        <w:rPr>
          <w:rFonts w:ascii="仿宋_GB2312" w:hAnsi="仿宋_GB2312" w:cs="仿宋_GB2312" w:hint="eastAsia"/>
          <w:color w:val="000000"/>
          <w:szCs w:val="32"/>
        </w:rPr>
        <w:t>，电话:22633281，电子邮箱：</w:t>
      </w:r>
      <w:hyperlink r:id="rId5" w:history="1">
        <w:r>
          <w:rPr>
            <w:rFonts w:ascii="仿宋_GB2312" w:hAnsi="仿宋_GB2312" w:cs="仿宋_GB2312" w:hint="eastAsia"/>
            <w:color w:val="000000"/>
            <w:szCs w:val="32"/>
          </w:rPr>
          <w:t>ljzjj22633281@163.com</w:t>
        </w:r>
      </w:hyperlink>
      <w:r>
        <w:rPr>
          <w:rFonts w:ascii="仿宋_GB2312" w:hAnsi="仿宋_GB2312" w:cs="仿宋_GB2312" w:hint="eastAsia"/>
          <w:color w:val="000000"/>
          <w:szCs w:val="32"/>
        </w:rPr>
        <w:t>，地址：</w:t>
      </w:r>
      <w:proofErr w:type="gramStart"/>
      <w:r>
        <w:rPr>
          <w:rFonts w:ascii="仿宋_GB2312" w:hAnsi="仿宋_GB2312" w:cs="仿宋_GB2312" w:hint="eastAsia"/>
          <w:color w:val="000000"/>
          <w:szCs w:val="32"/>
        </w:rPr>
        <w:t>洛</w:t>
      </w:r>
      <w:proofErr w:type="gramEnd"/>
      <w:r>
        <w:rPr>
          <w:rFonts w:ascii="仿宋_GB2312" w:hAnsi="仿宋_GB2312" w:cs="仿宋_GB2312" w:hint="eastAsia"/>
          <w:color w:val="000000"/>
          <w:szCs w:val="32"/>
        </w:rPr>
        <w:t>江区安吉路28号二楼建工股</w:t>
      </w:r>
    </w:p>
    <w:p w:rsidR="005A4789" w:rsidRDefault="005A4789" w:rsidP="005A4789">
      <w:pPr>
        <w:spacing w:line="540" w:lineRule="exact"/>
        <w:ind w:firstLineChars="200" w:firstLine="614"/>
        <w:rPr>
          <w:rFonts w:ascii="仿宋_GB2312" w:hAnsi="仿宋_GB2312" w:cs="仿宋_GB2312" w:hint="eastAsia"/>
          <w:color w:val="000000"/>
          <w:szCs w:val="32"/>
        </w:rPr>
      </w:pPr>
      <w:r>
        <w:rPr>
          <w:rFonts w:ascii="仿宋_GB2312" w:hAnsi="仿宋_GB2312" w:cs="仿宋_GB2312" w:hint="eastAsia"/>
          <w:color w:val="000000"/>
          <w:szCs w:val="32"/>
        </w:rPr>
        <w:t>区</w:t>
      </w:r>
      <w:proofErr w:type="gramStart"/>
      <w:r>
        <w:rPr>
          <w:rFonts w:ascii="仿宋_GB2312" w:hAnsi="仿宋_GB2312" w:cs="仿宋_GB2312" w:hint="eastAsia"/>
          <w:color w:val="000000"/>
          <w:szCs w:val="32"/>
        </w:rPr>
        <w:t>人社局</w:t>
      </w:r>
      <w:proofErr w:type="gramEnd"/>
      <w:r>
        <w:rPr>
          <w:rFonts w:ascii="仿宋_GB2312" w:hAnsi="仿宋_GB2312" w:cs="仿宋_GB2312"/>
          <w:color w:val="000000"/>
          <w:szCs w:val="32"/>
        </w:rPr>
        <w:t>（主要受理在建工程项目拖欠农民工工资问题）</w:t>
      </w:r>
      <w:r>
        <w:rPr>
          <w:rFonts w:ascii="仿宋_GB2312" w:hAnsi="仿宋_GB2312" w:cs="仿宋_GB2312" w:hint="eastAsia"/>
          <w:color w:val="000000"/>
          <w:szCs w:val="32"/>
        </w:rPr>
        <w:t>，电话：22633822，电子邮箱：22633822@163.com，地址：</w:t>
      </w:r>
      <w:proofErr w:type="gramStart"/>
      <w:r>
        <w:rPr>
          <w:rFonts w:ascii="仿宋_GB2312" w:hAnsi="仿宋_GB2312" w:cs="仿宋_GB2312" w:hint="eastAsia"/>
          <w:color w:val="000000"/>
          <w:szCs w:val="32"/>
        </w:rPr>
        <w:t>洛</w:t>
      </w:r>
      <w:proofErr w:type="gramEnd"/>
      <w:r>
        <w:rPr>
          <w:rFonts w:ascii="仿宋_GB2312" w:hAnsi="仿宋_GB2312" w:cs="仿宋_GB2312" w:hint="eastAsia"/>
          <w:color w:val="000000"/>
          <w:szCs w:val="32"/>
        </w:rPr>
        <w:t>江</w:t>
      </w:r>
      <w:proofErr w:type="gramStart"/>
      <w:r>
        <w:rPr>
          <w:rFonts w:ascii="仿宋_GB2312" w:hAnsi="仿宋_GB2312" w:cs="仿宋_GB2312" w:hint="eastAsia"/>
          <w:color w:val="000000"/>
          <w:szCs w:val="32"/>
        </w:rPr>
        <w:t>区万贤街</w:t>
      </w:r>
      <w:proofErr w:type="gramEnd"/>
      <w:r>
        <w:rPr>
          <w:rFonts w:ascii="仿宋_GB2312" w:hAnsi="仿宋_GB2312" w:cs="仿宋_GB2312" w:hint="eastAsia"/>
          <w:color w:val="000000"/>
          <w:szCs w:val="32"/>
        </w:rPr>
        <w:t>40号一楼</w:t>
      </w:r>
    </w:p>
    <w:p w:rsidR="005A4789" w:rsidRDefault="005A4789" w:rsidP="005A4789">
      <w:pPr>
        <w:spacing w:line="540" w:lineRule="exact"/>
        <w:ind w:firstLine="615"/>
        <w:rPr>
          <w:rFonts w:ascii="仿宋_GB2312"/>
          <w:color w:val="000000"/>
          <w:szCs w:val="32"/>
        </w:rPr>
      </w:pPr>
    </w:p>
    <w:p w:rsidR="005A4789" w:rsidRDefault="005A4789" w:rsidP="005A4789">
      <w:pPr>
        <w:pStyle w:val="a5"/>
        <w:widowControl/>
        <w:shd w:val="clear" w:color="auto" w:fill="FFFFFF"/>
        <w:tabs>
          <w:tab w:val="left" w:pos="1134"/>
        </w:tabs>
        <w:spacing w:before="0" w:beforeAutospacing="0" w:after="0" w:afterAutospacing="0" w:line="540" w:lineRule="exact"/>
        <w:ind w:firstLineChars="200" w:firstLine="614"/>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sz w:val="32"/>
          <w:szCs w:val="32"/>
        </w:rPr>
        <w:t>附件：2.</w:t>
      </w:r>
      <w:r>
        <w:rPr>
          <w:rFonts w:ascii="仿宋_GB2312" w:eastAsia="仿宋_GB2312" w:hAnsi="仿宋_GB2312" w:cs="仿宋_GB2312" w:hint="eastAsia"/>
          <w:color w:val="000000"/>
          <w:kern w:val="2"/>
          <w:sz w:val="32"/>
          <w:szCs w:val="32"/>
        </w:rPr>
        <w:t>1区级工作任务清单</w:t>
      </w:r>
    </w:p>
    <w:p w:rsidR="005A4789" w:rsidRDefault="005A4789" w:rsidP="005A4789">
      <w:pPr>
        <w:spacing w:line="540" w:lineRule="exact"/>
        <w:jc w:val="left"/>
        <w:rPr>
          <w:rFonts w:ascii="仿宋_GB2312"/>
          <w:color w:val="000000"/>
          <w:szCs w:val="32"/>
        </w:rPr>
      </w:pPr>
      <w:r>
        <w:rPr>
          <w:rFonts w:ascii="仿宋_GB2312" w:hint="eastAsia"/>
          <w:color w:val="000000"/>
          <w:szCs w:val="32"/>
        </w:rPr>
        <w:t xml:space="preserve">          2.2</w:t>
      </w:r>
      <w:r>
        <w:rPr>
          <w:rFonts w:ascii="仿宋_GB2312"/>
          <w:color w:val="000000"/>
          <w:szCs w:val="32"/>
        </w:rPr>
        <w:t>拖欠工程款</w:t>
      </w:r>
      <w:r>
        <w:rPr>
          <w:rFonts w:ascii="仿宋_GB2312" w:hint="eastAsia"/>
          <w:color w:val="000000"/>
          <w:szCs w:val="32"/>
        </w:rPr>
        <w:t>问题</w:t>
      </w:r>
      <w:proofErr w:type="gramStart"/>
      <w:r>
        <w:rPr>
          <w:rFonts w:ascii="仿宋_GB2312" w:hint="eastAsia"/>
          <w:color w:val="000000"/>
          <w:szCs w:val="32"/>
        </w:rPr>
        <w:t>线索台</w:t>
      </w:r>
      <w:proofErr w:type="gramEnd"/>
      <w:r>
        <w:rPr>
          <w:rFonts w:ascii="仿宋_GB2312" w:hint="eastAsia"/>
          <w:color w:val="000000"/>
          <w:szCs w:val="32"/>
        </w:rPr>
        <w:t>账</w:t>
      </w:r>
      <w:r>
        <w:rPr>
          <w:rFonts w:ascii="仿宋_GB2312"/>
          <w:color w:val="000000"/>
          <w:szCs w:val="32"/>
        </w:rPr>
        <w:t>表</w:t>
      </w:r>
    </w:p>
    <w:p w:rsidR="005A4789" w:rsidRDefault="005A4789" w:rsidP="005A4789">
      <w:pPr>
        <w:tabs>
          <w:tab w:val="left" w:pos="1560"/>
          <w:tab w:val="left" w:pos="1985"/>
        </w:tabs>
        <w:spacing w:line="540" w:lineRule="exact"/>
        <w:jc w:val="left"/>
        <w:rPr>
          <w:rFonts w:ascii="仿宋_GB2312" w:hint="eastAsia"/>
          <w:color w:val="000000"/>
          <w:szCs w:val="32"/>
        </w:rPr>
      </w:pPr>
      <w:r>
        <w:rPr>
          <w:rFonts w:ascii="仿宋_GB2312" w:hint="eastAsia"/>
          <w:color w:val="000000"/>
          <w:szCs w:val="32"/>
        </w:rPr>
        <w:t xml:space="preserve">          2.3工程建设项目发放农民工工资自查</w:t>
      </w:r>
      <w:proofErr w:type="gramStart"/>
      <w:r>
        <w:rPr>
          <w:rFonts w:ascii="仿宋_GB2312" w:hint="eastAsia"/>
          <w:color w:val="000000"/>
          <w:szCs w:val="32"/>
        </w:rPr>
        <w:t>自纠月报表</w:t>
      </w:r>
      <w:proofErr w:type="gramEnd"/>
    </w:p>
    <w:p w:rsidR="005A4789" w:rsidRDefault="005A4789" w:rsidP="005A4789">
      <w:pPr>
        <w:spacing w:line="540" w:lineRule="exact"/>
        <w:ind w:firstLineChars="500" w:firstLine="1536"/>
        <w:rPr>
          <w:rFonts w:ascii="仿宋_GB2312"/>
          <w:color w:val="000000"/>
          <w:szCs w:val="32"/>
        </w:rPr>
      </w:pPr>
    </w:p>
    <w:p w:rsidR="005A4789" w:rsidRDefault="005A4789" w:rsidP="005A4789">
      <w:pPr>
        <w:pStyle w:val="a5"/>
        <w:widowControl/>
        <w:shd w:val="clear" w:color="auto" w:fill="FFFFFF"/>
        <w:spacing w:before="0" w:beforeAutospacing="0" w:after="0" w:afterAutospacing="0" w:line="560" w:lineRule="exact"/>
        <w:ind w:firstLineChars="200" w:firstLine="614"/>
        <w:rPr>
          <w:rFonts w:ascii="仿宋_GB2312" w:eastAsia="仿宋_GB2312" w:hAnsi="仿宋_GB2312" w:cs="仿宋_GB2312" w:hint="eastAsia"/>
          <w:kern w:val="2"/>
          <w:sz w:val="32"/>
          <w:szCs w:val="32"/>
        </w:rPr>
      </w:pPr>
    </w:p>
    <w:p w:rsidR="005A4789" w:rsidRDefault="005A4789" w:rsidP="005A4789">
      <w:pPr>
        <w:pStyle w:val="a5"/>
        <w:widowControl/>
        <w:shd w:val="clear" w:color="auto" w:fill="FFFFFF"/>
        <w:spacing w:before="0" w:beforeAutospacing="0" w:after="0" w:afterAutospacing="0" w:line="560" w:lineRule="exact"/>
        <w:rPr>
          <w:rFonts w:ascii="黑体" w:eastAsia="黑体" w:hAnsi="黑体" w:cs="宋体" w:hint="eastAsia"/>
          <w:color w:val="333333"/>
        </w:rPr>
      </w:pPr>
      <w:r>
        <w:rPr>
          <w:rFonts w:ascii="仿宋_GB2312" w:eastAsia="仿宋_GB2312" w:hAnsi="仿宋_GB2312" w:cs="仿宋_GB2312" w:hint="eastAsia"/>
          <w:kern w:val="2"/>
          <w:sz w:val="32"/>
          <w:szCs w:val="32"/>
        </w:rPr>
        <w:br w:type="page"/>
      </w:r>
      <w:r>
        <w:rPr>
          <w:rFonts w:ascii="黑体" w:eastAsia="黑体" w:hAnsi="黑体" w:cs="仿宋_GB2312" w:hint="eastAsia"/>
          <w:b/>
          <w:bCs/>
          <w:kern w:val="2"/>
          <w:sz w:val="32"/>
          <w:szCs w:val="32"/>
        </w:rPr>
        <w:lastRenderedPageBreak/>
        <w:t>附件2.1</w:t>
      </w:r>
    </w:p>
    <w:p w:rsidR="005A4789" w:rsidRDefault="005A4789" w:rsidP="005A4789">
      <w:pPr>
        <w:pStyle w:val="a5"/>
        <w:widowControl/>
        <w:shd w:val="clear" w:color="auto" w:fill="FFFFFF"/>
        <w:spacing w:before="0" w:beforeAutospacing="0" w:after="0" w:afterAutospacing="0" w:line="560" w:lineRule="exact"/>
        <w:jc w:val="center"/>
        <w:rPr>
          <w:rFonts w:ascii="方正小标宋简体" w:eastAsia="方正小标宋简体" w:hAnsi="Times New Roman" w:hint="eastAsia"/>
          <w:spacing w:val="-6"/>
          <w:kern w:val="2"/>
          <w:sz w:val="44"/>
          <w:szCs w:val="44"/>
        </w:rPr>
      </w:pPr>
      <w:r>
        <w:rPr>
          <w:rFonts w:ascii="方正小标宋简体" w:eastAsia="方正小标宋简体" w:hAnsi="Times New Roman" w:hint="eastAsia"/>
          <w:spacing w:val="-6"/>
          <w:kern w:val="2"/>
          <w:sz w:val="44"/>
          <w:szCs w:val="44"/>
        </w:rPr>
        <w:t>区级工作任务清单</w:t>
      </w:r>
    </w:p>
    <w:p w:rsidR="005A4789" w:rsidRDefault="005A4789" w:rsidP="005A4789">
      <w:pPr>
        <w:pStyle w:val="a5"/>
        <w:widowControl/>
        <w:shd w:val="clear" w:color="auto" w:fill="FFFFFF"/>
        <w:spacing w:before="0" w:beforeAutospacing="0" w:after="0" w:afterAutospacing="0" w:line="300" w:lineRule="exact"/>
        <w:jc w:val="center"/>
        <w:rPr>
          <w:rFonts w:ascii="方正小标宋简体" w:eastAsia="方正小标宋简体" w:hAnsi="Times New Roman" w:hint="eastAsia"/>
          <w:spacing w:val="-6"/>
          <w:kern w:val="2"/>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394"/>
        <w:gridCol w:w="2268"/>
        <w:gridCol w:w="1560"/>
      </w:tblGrid>
      <w:tr w:rsidR="005A4789" w:rsidTr="00AC4A06">
        <w:trPr>
          <w:trHeight w:val="566"/>
        </w:trPr>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b/>
              </w:rPr>
            </w:pPr>
            <w:r>
              <w:rPr>
                <w:rFonts w:ascii="仿宋_GB2312" w:eastAsia="仿宋_GB2312" w:hAnsi="仿宋_GB2312" w:cs="仿宋_GB2312" w:hint="eastAsia"/>
                <w:b/>
              </w:rPr>
              <w:t>序号</w:t>
            </w:r>
          </w:p>
        </w:tc>
        <w:tc>
          <w:tcPr>
            <w:tcW w:w="4394"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b/>
              </w:rPr>
            </w:pPr>
            <w:r>
              <w:rPr>
                <w:rFonts w:ascii="仿宋_GB2312" w:eastAsia="仿宋_GB2312" w:hAnsi="仿宋_GB2312" w:cs="仿宋_GB2312" w:hint="eastAsia"/>
                <w:b/>
              </w:rPr>
              <w:t>工作内容</w:t>
            </w:r>
          </w:p>
        </w:tc>
        <w:tc>
          <w:tcPr>
            <w:tcW w:w="2268"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b/>
              </w:rPr>
            </w:pPr>
            <w:r>
              <w:rPr>
                <w:rFonts w:ascii="仿宋_GB2312" w:eastAsia="仿宋_GB2312" w:hAnsi="仿宋_GB2312" w:cs="仿宋_GB2312" w:hint="eastAsia"/>
                <w:b/>
              </w:rPr>
              <w:t>责任单位</w:t>
            </w:r>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b/>
              </w:rPr>
            </w:pPr>
            <w:r>
              <w:rPr>
                <w:rFonts w:ascii="仿宋_GB2312" w:eastAsia="仿宋_GB2312" w:hAnsi="仿宋_GB2312" w:cs="仿宋_GB2312" w:hint="eastAsia"/>
                <w:b/>
              </w:rPr>
              <w:t>完成时间</w:t>
            </w:r>
          </w:p>
        </w:tc>
      </w:tr>
      <w:tr w:rsidR="005A4789" w:rsidTr="00AC4A06">
        <w:trPr>
          <w:trHeight w:val="545"/>
        </w:trPr>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1</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加强工作专班力量，成立工作领导小组。</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7月底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2</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对照整治重点和整治内容，深入开展专题调研，形成问题清单，梳理分析拖欠原因，提出化解问题隐患有力有效举措。</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widowControl/>
              <w:spacing w:line="21"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7月底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3</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结合调研情况和本地工作实际，制定整治工作方案。</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widowControl/>
              <w:spacing w:line="21"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7月底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4</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召开整治工作会议，对整治工作进行动员部署。</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widowControl/>
              <w:spacing w:line="21" w:lineRule="atLeast"/>
              <w:jc w:val="center"/>
              <w:rPr>
                <w:rFonts w:ascii="仿宋_GB2312" w:hAnsi="仿宋_GB2312" w:cs="仿宋_GB2312" w:hint="eastAsia"/>
                <w:kern w:val="0"/>
                <w:sz w:val="24"/>
                <w:szCs w:val="24"/>
              </w:rPr>
            </w:pPr>
            <w:r>
              <w:rPr>
                <w:rFonts w:ascii="仿宋_GB2312" w:hAnsi="仿宋_GB2312" w:cs="仿宋_GB2312" w:hint="eastAsia"/>
                <w:kern w:val="0"/>
                <w:sz w:val="24"/>
                <w:szCs w:val="24"/>
              </w:rPr>
              <w:t>7月底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5</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建立工作专班定期会商研究工作机制。</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6</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每季度召开1次“点题整治”推进会，</w:t>
            </w:r>
            <w:proofErr w:type="gramStart"/>
            <w:r>
              <w:rPr>
                <w:rFonts w:ascii="仿宋_GB2312" w:eastAsia="仿宋_GB2312" w:hAnsi="仿宋_GB2312" w:cs="仿宋_GB2312" w:hint="eastAsia"/>
              </w:rPr>
              <w:t>通报整治</w:t>
            </w:r>
            <w:proofErr w:type="gramEnd"/>
            <w:r>
              <w:rPr>
                <w:rFonts w:ascii="仿宋_GB2312" w:eastAsia="仿宋_GB2312" w:hAnsi="仿宋_GB2312" w:cs="仿宋_GB2312" w:hint="eastAsia"/>
              </w:rPr>
              <w:t>工作情况，交流分享经验做法。</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7</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跟踪、督办群众来信、来访所反映的问题，实行销号管理。</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8</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建立“双台账”，对照整治方案，明确月度“工作目标及节点要求”，按月更新报送“双台账”以及进展情况。</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9</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开展根治欠薪制度争优争先争效行动。</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10</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对在建项目进行全面排查，督促推进欠薪欠款落实整改。</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11</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充分利用市级实名制平台并加强现场核查，全面落实工程款支付担保、工资保证金、工资专户等制度情况。</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12</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充分利用工程款预警机制，督促建设单位及时拨付工程款。</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rPr>
            </w:pPr>
            <w:r>
              <w:rPr>
                <w:rFonts w:ascii="仿宋_GB2312" w:eastAsia="仿宋_GB2312" w:hAnsi="仿宋_GB2312" w:cs="仿宋_GB2312" w:hint="eastAsia"/>
              </w:rPr>
              <w:t>13</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开展合同履约评价，进一步提高项目现场实名制管理水平，压实企业工资支付责任。</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rPr>
            </w:pPr>
            <w:r>
              <w:rPr>
                <w:rFonts w:ascii="仿宋_GB2312" w:eastAsia="仿宋_GB2312" w:hAnsi="仿宋_GB2312" w:cs="仿宋_GB2312" w:hint="eastAsia"/>
              </w:rPr>
              <w:t>14</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组织开展建筑市场“双随机”监督检查，规范建筑市场行为。</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10月底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rPr>
            </w:pPr>
            <w:r>
              <w:rPr>
                <w:rFonts w:ascii="仿宋_GB2312" w:eastAsia="仿宋_GB2312" w:hAnsi="仿宋_GB2312" w:cs="仿宋_GB2312" w:hint="eastAsia"/>
              </w:rPr>
              <w:t>15</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开展“甲指分包”专项治理行动，重点整治“甲指分包”欠薪问题。</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rPr>
            </w:pPr>
            <w:r>
              <w:rPr>
                <w:rFonts w:ascii="仿宋_GB2312" w:eastAsia="仿宋_GB2312" w:hAnsi="仿宋_GB2312" w:cs="仿宋_GB2312" w:hint="eastAsia"/>
              </w:rPr>
              <w:t>16</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推动国企项目落实施工过程结算。</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rPr>
          <w:trHeight w:val="416"/>
        </w:trPr>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b/>
              </w:rPr>
            </w:pPr>
            <w:r>
              <w:rPr>
                <w:rFonts w:ascii="仿宋_GB2312" w:eastAsia="仿宋_GB2312" w:hAnsi="仿宋_GB2312" w:cs="仿宋_GB2312" w:hint="eastAsia"/>
                <w:b/>
              </w:rPr>
              <w:lastRenderedPageBreak/>
              <w:t>序号</w:t>
            </w:r>
          </w:p>
        </w:tc>
        <w:tc>
          <w:tcPr>
            <w:tcW w:w="4394"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b/>
              </w:rPr>
            </w:pPr>
            <w:r>
              <w:rPr>
                <w:rFonts w:ascii="仿宋_GB2312" w:eastAsia="仿宋_GB2312" w:hAnsi="仿宋_GB2312" w:cs="仿宋_GB2312" w:hint="eastAsia"/>
                <w:b/>
              </w:rPr>
              <w:t>工作内容</w:t>
            </w:r>
          </w:p>
        </w:tc>
        <w:tc>
          <w:tcPr>
            <w:tcW w:w="2268"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b/>
              </w:rPr>
            </w:pPr>
            <w:r>
              <w:rPr>
                <w:rFonts w:ascii="仿宋_GB2312" w:eastAsia="仿宋_GB2312" w:hAnsi="仿宋_GB2312" w:cs="仿宋_GB2312" w:hint="eastAsia"/>
                <w:b/>
              </w:rPr>
              <w:t>责任单位</w:t>
            </w:r>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b/>
              </w:rPr>
            </w:pPr>
            <w:r>
              <w:rPr>
                <w:rFonts w:ascii="仿宋_GB2312" w:eastAsia="仿宋_GB2312" w:hAnsi="仿宋_GB2312" w:cs="仿宋_GB2312" w:hint="eastAsia"/>
                <w:b/>
              </w:rPr>
              <w:t>完成时间</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rPr>
            </w:pPr>
            <w:r>
              <w:rPr>
                <w:rFonts w:ascii="仿宋_GB2312" w:eastAsia="仿宋_GB2312" w:hAnsi="仿宋_GB2312" w:cs="仿宋_GB2312" w:hint="eastAsia"/>
              </w:rPr>
              <w:t>17</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报送一批欠薪欠款典型案例，转发解决欠薪欠款问题的经验做法。</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r w:rsidR="005A4789" w:rsidTr="00AC4A06">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rPr>
            </w:pPr>
            <w:r>
              <w:rPr>
                <w:rFonts w:ascii="仿宋_GB2312" w:eastAsia="仿宋_GB2312" w:hAnsi="仿宋_GB2312" w:cs="仿宋_GB2312" w:hint="eastAsia"/>
              </w:rPr>
              <w:t>18</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在住建和</w:t>
            </w:r>
            <w:proofErr w:type="gramStart"/>
            <w:r>
              <w:rPr>
                <w:rFonts w:ascii="仿宋_GB2312" w:eastAsia="仿宋_GB2312" w:hAnsi="仿宋_GB2312" w:cs="仿宋_GB2312" w:hint="eastAsia"/>
              </w:rPr>
              <w:t>人社部门</w:t>
            </w:r>
            <w:proofErr w:type="gramEnd"/>
            <w:r>
              <w:rPr>
                <w:rFonts w:ascii="仿宋_GB2312" w:eastAsia="仿宋_GB2312" w:hAnsi="仿宋_GB2312" w:cs="仿宋_GB2312" w:hint="eastAsia"/>
              </w:rPr>
              <w:t>官方网站、</w:t>
            </w:r>
            <w:proofErr w:type="gramStart"/>
            <w:r>
              <w:rPr>
                <w:rFonts w:ascii="仿宋_GB2312" w:eastAsia="仿宋_GB2312" w:hAnsi="仿宋_GB2312" w:cs="仿宋_GB2312" w:hint="eastAsia"/>
              </w:rPr>
              <w:t>微信公众号</w:t>
            </w:r>
            <w:proofErr w:type="gramEnd"/>
            <w:r>
              <w:rPr>
                <w:rFonts w:ascii="仿宋_GB2312" w:eastAsia="仿宋_GB2312" w:hAnsi="仿宋_GB2312" w:cs="仿宋_GB2312" w:hint="eastAsia"/>
              </w:rPr>
              <w:t>上设立“点题整治”专栏，公布投诉举报电话、邮箱。</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7月底</w:t>
            </w:r>
          </w:p>
        </w:tc>
      </w:tr>
      <w:tr w:rsidR="005A4789" w:rsidTr="00AC4A06">
        <w:trPr>
          <w:trHeight w:val="1144"/>
        </w:trPr>
        <w:tc>
          <w:tcPr>
            <w:tcW w:w="817" w:type="dxa"/>
            <w:vAlign w:val="center"/>
          </w:tcPr>
          <w:p w:rsidR="005A4789" w:rsidRDefault="005A4789" w:rsidP="00AC4A06">
            <w:pPr>
              <w:pStyle w:val="a5"/>
              <w:widowControl/>
              <w:spacing w:line="21" w:lineRule="atLeast"/>
              <w:jc w:val="center"/>
              <w:rPr>
                <w:rFonts w:ascii="仿宋_GB2312" w:eastAsia="仿宋_GB2312" w:hAnsi="仿宋_GB2312" w:cs="仿宋_GB2312"/>
              </w:rPr>
            </w:pPr>
            <w:r>
              <w:rPr>
                <w:rFonts w:ascii="仿宋_GB2312" w:eastAsia="仿宋_GB2312" w:hAnsi="仿宋_GB2312" w:cs="仿宋_GB2312" w:hint="eastAsia"/>
              </w:rPr>
              <w:t>19</w:t>
            </w:r>
          </w:p>
        </w:tc>
        <w:tc>
          <w:tcPr>
            <w:tcW w:w="4394"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充分利用电视、报纸、官网、</w:t>
            </w:r>
            <w:proofErr w:type="gramStart"/>
            <w:r>
              <w:rPr>
                <w:rFonts w:ascii="仿宋_GB2312" w:eastAsia="仿宋_GB2312" w:hAnsi="仿宋_GB2312" w:cs="仿宋_GB2312" w:hint="eastAsia"/>
              </w:rPr>
              <w:t>微信公众号、抖音</w:t>
            </w:r>
            <w:proofErr w:type="gramEnd"/>
            <w:r>
              <w:rPr>
                <w:rFonts w:ascii="仿宋_GB2312" w:eastAsia="仿宋_GB2312" w:hAnsi="仿宋_GB2312" w:cs="仿宋_GB2312" w:hint="eastAsia"/>
              </w:rPr>
              <w:t>等方式，对整治工作进行广泛宣传。推动宣传</w:t>
            </w:r>
            <w:proofErr w:type="gramStart"/>
            <w:r>
              <w:rPr>
                <w:rFonts w:ascii="仿宋_GB2312" w:eastAsia="仿宋_GB2312" w:hAnsi="仿宋_GB2312" w:cs="仿宋_GB2312" w:hint="eastAsia"/>
              </w:rPr>
              <w:t>进交易</w:t>
            </w:r>
            <w:proofErr w:type="gramEnd"/>
            <w:r>
              <w:rPr>
                <w:rFonts w:ascii="仿宋_GB2312" w:eastAsia="仿宋_GB2312" w:hAnsi="仿宋_GB2312" w:cs="仿宋_GB2312" w:hint="eastAsia"/>
              </w:rPr>
              <w:t>中心、进建设单位、</w:t>
            </w:r>
            <w:proofErr w:type="gramStart"/>
            <w:r>
              <w:rPr>
                <w:rFonts w:ascii="仿宋_GB2312" w:eastAsia="仿宋_GB2312" w:hAnsi="仿宋_GB2312" w:cs="仿宋_GB2312" w:hint="eastAsia"/>
              </w:rPr>
              <w:t>进施工</w:t>
            </w:r>
            <w:proofErr w:type="gramEnd"/>
            <w:r>
              <w:rPr>
                <w:rFonts w:ascii="仿宋_GB2312" w:eastAsia="仿宋_GB2312" w:hAnsi="仿宋_GB2312" w:cs="仿宋_GB2312" w:hint="eastAsia"/>
              </w:rPr>
              <w:t>企业、</w:t>
            </w:r>
            <w:proofErr w:type="gramStart"/>
            <w:r>
              <w:rPr>
                <w:rFonts w:ascii="仿宋_GB2312" w:eastAsia="仿宋_GB2312" w:hAnsi="仿宋_GB2312" w:cs="仿宋_GB2312" w:hint="eastAsia"/>
              </w:rPr>
              <w:t>进项目</w:t>
            </w:r>
            <w:proofErr w:type="gramEnd"/>
            <w:r>
              <w:rPr>
                <w:rFonts w:ascii="仿宋_GB2312" w:eastAsia="仿宋_GB2312" w:hAnsi="仿宋_GB2312" w:cs="仿宋_GB2312" w:hint="eastAsia"/>
              </w:rPr>
              <w:t>部。</w:t>
            </w:r>
          </w:p>
        </w:tc>
        <w:tc>
          <w:tcPr>
            <w:tcW w:w="2268" w:type="dxa"/>
            <w:vAlign w:val="center"/>
          </w:tcPr>
          <w:p w:rsidR="005A4789" w:rsidRDefault="005A4789" w:rsidP="00AC4A06">
            <w:pPr>
              <w:pStyle w:val="a5"/>
              <w:widowControl/>
              <w:spacing w:line="21" w:lineRule="atLeast"/>
              <w:rPr>
                <w:rFonts w:ascii="仿宋_GB2312" w:eastAsia="仿宋_GB2312" w:hAnsi="仿宋_GB2312" w:cs="仿宋_GB2312" w:hint="eastAsia"/>
              </w:rPr>
            </w:pPr>
            <w:r>
              <w:rPr>
                <w:rFonts w:ascii="仿宋_GB2312" w:eastAsia="仿宋_GB2312" w:hAnsi="仿宋_GB2312" w:cs="仿宋_GB2312" w:hint="eastAsia"/>
              </w:rPr>
              <w:t>区住建局、</w:t>
            </w:r>
            <w:proofErr w:type="gramStart"/>
            <w:r>
              <w:rPr>
                <w:rFonts w:ascii="仿宋_GB2312" w:eastAsia="仿宋_GB2312" w:hAnsi="仿宋_GB2312" w:cs="仿宋_GB2312" w:hint="eastAsia"/>
              </w:rPr>
              <w:t>人社局</w:t>
            </w:r>
            <w:proofErr w:type="gramEnd"/>
          </w:p>
        </w:tc>
        <w:tc>
          <w:tcPr>
            <w:tcW w:w="1560" w:type="dxa"/>
            <w:vAlign w:val="center"/>
          </w:tcPr>
          <w:p w:rsidR="005A4789" w:rsidRDefault="005A4789" w:rsidP="00AC4A06">
            <w:pPr>
              <w:pStyle w:val="a5"/>
              <w:widowControl/>
              <w:spacing w:line="21" w:lineRule="atLeast"/>
              <w:jc w:val="center"/>
              <w:rPr>
                <w:rFonts w:ascii="仿宋_GB2312" w:eastAsia="仿宋_GB2312" w:hAnsi="仿宋_GB2312" w:cs="仿宋_GB2312" w:hint="eastAsia"/>
              </w:rPr>
            </w:pPr>
            <w:r>
              <w:rPr>
                <w:rFonts w:ascii="仿宋_GB2312" w:eastAsia="仿宋_GB2312" w:hAnsi="仿宋_GB2312" w:cs="仿宋_GB2312" w:hint="eastAsia"/>
              </w:rPr>
              <w:t>持续推进至12月底</w:t>
            </w:r>
          </w:p>
        </w:tc>
      </w:tr>
    </w:tbl>
    <w:p w:rsidR="005A4789" w:rsidRDefault="005A4789" w:rsidP="005A4789">
      <w:pPr>
        <w:pStyle w:val="a5"/>
        <w:widowControl/>
        <w:shd w:val="clear" w:color="auto" w:fill="FFFFFF"/>
        <w:spacing w:line="21" w:lineRule="atLeast"/>
        <w:rPr>
          <w:rFonts w:ascii="仿宋_GB2312" w:eastAsia="仿宋_GB2312" w:hAnsi="仿宋_GB2312" w:cs="仿宋_GB2312"/>
          <w:kern w:val="2"/>
          <w:sz w:val="32"/>
          <w:szCs w:val="32"/>
        </w:rPr>
      </w:pPr>
    </w:p>
    <w:p w:rsidR="005A4789" w:rsidRDefault="005A4789" w:rsidP="005A4789">
      <w:pPr>
        <w:pStyle w:val="2"/>
        <w:ind w:leftChars="0" w:left="0"/>
        <w:rPr>
          <w:rFonts w:hint="eastAsia"/>
        </w:rPr>
        <w:sectPr w:rsidR="005A4789">
          <w:headerReference w:type="even" r:id="rId6"/>
          <w:headerReference w:type="default" r:id="rId7"/>
          <w:footerReference w:type="even" r:id="rId8"/>
          <w:footerReference w:type="default" r:id="rId9"/>
          <w:pgSz w:w="11906" w:h="16838"/>
          <w:pgMar w:top="1871" w:right="1304" w:bottom="1644" w:left="1531" w:header="851" w:footer="992" w:gutter="0"/>
          <w:pgNumType w:fmt="numberInDash"/>
          <w:cols w:space="720"/>
          <w:docGrid w:type="linesAndChars" w:linePitch="317" w:charSpace="-2623"/>
        </w:sectPr>
      </w:pPr>
    </w:p>
    <w:p w:rsidR="005A4789" w:rsidRDefault="005A4789" w:rsidP="005A4789">
      <w:pPr>
        <w:pStyle w:val="a5"/>
        <w:widowControl/>
        <w:shd w:val="clear" w:color="auto" w:fill="FFFFFF"/>
        <w:spacing w:before="0" w:beforeAutospacing="0" w:after="0" w:afterAutospacing="0" w:line="560" w:lineRule="exact"/>
        <w:rPr>
          <w:rFonts w:ascii="黑体" w:eastAsia="黑体" w:hAnsi="黑体" w:cs="宋体"/>
          <w:color w:val="333333"/>
        </w:rPr>
      </w:pPr>
      <w:r>
        <w:rPr>
          <w:rFonts w:ascii="黑体" w:eastAsia="黑体" w:hAnsi="黑体" w:cs="仿宋_GB2312" w:hint="eastAsia"/>
          <w:b/>
          <w:bCs/>
          <w:kern w:val="2"/>
          <w:sz w:val="32"/>
          <w:szCs w:val="32"/>
        </w:rPr>
        <w:lastRenderedPageBreak/>
        <w:t>附件2.2</w:t>
      </w:r>
    </w:p>
    <w:p w:rsidR="005A4789" w:rsidRDefault="005A4789" w:rsidP="005A4789">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拖欠工程款问题</w:t>
      </w:r>
      <w:proofErr w:type="gramStart"/>
      <w:r>
        <w:rPr>
          <w:rFonts w:ascii="方正小标宋简体" w:eastAsia="方正小标宋简体" w:hint="eastAsia"/>
          <w:sz w:val="44"/>
          <w:szCs w:val="44"/>
        </w:rPr>
        <w:t>线索台</w:t>
      </w:r>
      <w:proofErr w:type="gramEnd"/>
      <w:r>
        <w:rPr>
          <w:rFonts w:ascii="方正小标宋简体" w:eastAsia="方正小标宋简体" w:hint="eastAsia"/>
          <w:sz w:val="44"/>
          <w:szCs w:val="44"/>
        </w:rPr>
        <w:t>账表</w:t>
      </w:r>
    </w:p>
    <w:p w:rsidR="005A4789" w:rsidRDefault="005A4789" w:rsidP="005A4789">
      <w:pPr>
        <w:pStyle w:val="2"/>
        <w:spacing w:line="240" w:lineRule="exact"/>
        <w:ind w:left="640"/>
        <w:rPr>
          <w:rFonts w:hint="eastAsia"/>
        </w:rPr>
      </w:pPr>
    </w:p>
    <w:p w:rsidR="005A4789" w:rsidRDefault="005A4789" w:rsidP="005A4789">
      <w:pPr>
        <w:tabs>
          <w:tab w:val="center" w:pos="4153"/>
          <w:tab w:val="right" w:pos="8306"/>
        </w:tabs>
        <w:spacing w:line="560" w:lineRule="exact"/>
        <w:rPr>
          <w:szCs w:val="32"/>
        </w:rPr>
      </w:pPr>
      <w:r>
        <w:rPr>
          <w:szCs w:val="32"/>
        </w:rPr>
        <w:t>填报单位</w:t>
      </w:r>
      <w:r>
        <w:rPr>
          <w:rFonts w:hint="eastAsia"/>
          <w:szCs w:val="32"/>
        </w:rPr>
        <w:t>（盖章）</w:t>
      </w:r>
      <w:r>
        <w:rPr>
          <w:szCs w:val="32"/>
        </w:rPr>
        <w:t>：</w:t>
      </w:r>
      <w:r>
        <w:rPr>
          <w:szCs w:val="32"/>
        </w:rPr>
        <w:t xml:space="preserve">                               </w:t>
      </w:r>
      <w:r>
        <w:rPr>
          <w:rFonts w:hint="eastAsia"/>
          <w:szCs w:val="32"/>
        </w:rPr>
        <w:t xml:space="preserve">                     </w:t>
      </w:r>
      <w:r>
        <w:rPr>
          <w:rFonts w:hint="eastAsia"/>
          <w:szCs w:val="32"/>
        </w:rPr>
        <w:t>填报</w:t>
      </w:r>
      <w:r>
        <w:rPr>
          <w:szCs w:val="32"/>
        </w:rPr>
        <w:t>日期：</w:t>
      </w:r>
    </w:p>
    <w:tbl>
      <w:tblPr>
        <w:tblpPr w:leftFromText="180" w:rightFromText="180" w:vertAnchor="text" w:horzAnchor="page" w:tblpX="1321" w:tblpY="563"/>
        <w:tblOverlap w:val="never"/>
        <w:tblW w:w="0" w:type="auto"/>
        <w:tblLayout w:type="fixed"/>
        <w:tblCellMar>
          <w:left w:w="28" w:type="dxa"/>
          <w:right w:w="28" w:type="dxa"/>
        </w:tblCellMar>
        <w:tblLook w:val="0000"/>
      </w:tblPr>
      <w:tblGrid>
        <w:gridCol w:w="452"/>
        <w:gridCol w:w="1069"/>
        <w:gridCol w:w="908"/>
        <w:gridCol w:w="974"/>
        <w:gridCol w:w="908"/>
        <w:gridCol w:w="908"/>
        <w:gridCol w:w="763"/>
        <w:gridCol w:w="1280"/>
        <w:gridCol w:w="974"/>
        <w:gridCol w:w="974"/>
        <w:gridCol w:w="974"/>
        <w:gridCol w:w="908"/>
        <w:gridCol w:w="908"/>
        <w:gridCol w:w="908"/>
        <w:gridCol w:w="1517"/>
      </w:tblGrid>
      <w:tr w:rsidR="005A4789" w:rsidTr="00AC4A06">
        <w:trPr>
          <w:trHeight w:val="1402"/>
        </w:trPr>
        <w:tc>
          <w:tcPr>
            <w:tcW w:w="452"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序</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项目所</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在地</w:t>
            </w: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项目</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名称</w:t>
            </w: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建设</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（代建）</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单位</w:t>
            </w: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施工总</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承包单位</w:t>
            </w: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项目投</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资来源</w:t>
            </w:r>
          </w:p>
        </w:tc>
        <w:tc>
          <w:tcPr>
            <w:tcW w:w="763"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项目</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状态</w:t>
            </w:r>
          </w:p>
        </w:tc>
        <w:tc>
          <w:tcPr>
            <w:tcW w:w="1280"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问题类型</w:t>
            </w: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拖欠总</w:t>
            </w:r>
            <w:r>
              <w:rPr>
                <w:rFonts w:ascii="仿宋_GB2312" w:hAnsi="仿宋_GB2312" w:cs="仿宋_GB2312" w:hint="eastAsia"/>
                <w:spacing w:val="-4"/>
                <w:kern w:val="0"/>
                <w:sz w:val="24"/>
                <w:szCs w:val="24"/>
                <w:lang/>
              </w:rPr>
              <w:br/>
              <w:t>金额</w:t>
            </w:r>
            <w:r>
              <w:rPr>
                <w:rFonts w:ascii="仿宋_GB2312" w:hAnsi="仿宋_GB2312" w:cs="仿宋_GB2312" w:hint="eastAsia"/>
                <w:spacing w:val="-4"/>
                <w:kern w:val="0"/>
                <w:sz w:val="24"/>
                <w:szCs w:val="24"/>
                <w:lang/>
              </w:rPr>
              <w:br/>
              <w:t>（万元）</w:t>
            </w: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已清偿</w:t>
            </w:r>
            <w:r>
              <w:rPr>
                <w:rFonts w:ascii="仿宋_GB2312" w:hAnsi="仿宋_GB2312" w:cs="仿宋_GB2312" w:hint="eastAsia"/>
                <w:spacing w:val="-4"/>
                <w:kern w:val="0"/>
                <w:sz w:val="24"/>
                <w:szCs w:val="24"/>
                <w:lang/>
              </w:rPr>
              <w:br/>
              <w:t>金额</w:t>
            </w:r>
            <w:r>
              <w:rPr>
                <w:rFonts w:ascii="仿宋_GB2312" w:hAnsi="仿宋_GB2312" w:cs="仿宋_GB2312" w:hint="eastAsia"/>
                <w:spacing w:val="-4"/>
                <w:kern w:val="0"/>
                <w:sz w:val="24"/>
                <w:szCs w:val="24"/>
                <w:lang/>
              </w:rPr>
              <w:br/>
              <w:t>（万元）</w:t>
            </w: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未清偿</w:t>
            </w:r>
            <w:r>
              <w:rPr>
                <w:rFonts w:ascii="仿宋_GB2312" w:hAnsi="仿宋_GB2312" w:cs="仿宋_GB2312" w:hint="eastAsia"/>
                <w:spacing w:val="-4"/>
                <w:kern w:val="0"/>
                <w:sz w:val="24"/>
                <w:szCs w:val="24"/>
                <w:lang/>
              </w:rPr>
              <w:br/>
              <w:t>余额</w:t>
            </w:r>
            <w:r>
              <w:rPr>
                <w:rFonts w:ascii="仿宋_GB2312" w:hAnsi="仿宋_GB2312" w:cs="仿宋_GB2312" w:hint="eastAsia"/>
                <w:spacing w:val="-4"/>
                <w:kern w:val="0"/>
                <w:sz w:val="24"/>
                <w:szCs w:val="24"/>
                <w:lang/>
              </w:rPr>
              <w:br/>
              <w:t>（万元）</w:t>
            </w: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未清偿</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原因</w:t>
            </w: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清偿计</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划和时</w:t>
            </w:r>
          </w:p>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kern w:val="0"/>
                <w:sz w:val="24"/>
                <w:szCs w:val="24"/>
                <w:lang/>
              </w:rPr>
            </w:pPr>
            <w:r>
              <w:rPr>
                <w:rFonts w:ascii="仿宋_GB2312" w:hAnsi="仿宋_GB2312" w:cs="仿宋_GB2312" w:hint="eastAsia"/>
                <w:spacing w:val="-4"/>
                <w:kern w:val="0"/>
                <w:sz w:val="24"/>
                <w:szCs w:val="24"/>
                <w:lang/>
              </w:rPr>
              <w:t>间安排</w:t>
            </w: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责任人</w:t>
            </w:r>
          </w:p>
        </w:tc>
        <w:tc>
          <w:tcPr>
            <w:tcW w:w="1517"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240" w:lineRule="exact"/>
              <w:ind w:leftChars="-25" w:left="-80" w:rightChars="-25" w:right="-80"/>
              <w:jc w:val="center"/>
              <w:textAlignment w:val="center"/>
              <w:rPr>
                <w:rFonts w:ascii="仿宋_GB2312" w:hAnsi="仿宋_GB2312" w:cs="仿宋_GB2312" w:hint="eastAsia"/>
                <w:spacing w:val="-4"/>
                <w:sz w:val="24"/>
                <w:szCs w:val="24"/>
              </w:rPr>
            </w:pPr>
            <w:r>
              <w:rPr>
                <w:rFonts w:ascii="仿宋_GB2312" w:hAnsi="仿宋_GB2312" w:cs="仿宋_GB2312" w:hint="eastAsia"/>
                <w:spacing w:val="-4"/>
                <w:kern w:val="0"/>
                <w:sz w:val="24"/>
                <w:szCs w:val="24"/>
                <w:lang/>
              </w:rPr>
              <w:t>联系电话</w:t>
            </w:r>
          </w:p>
        </w:tc>
      </w:tr>
      <w:tr w:rsidR="005A4789" w:rsidTr="00AC4A06">
        <w:trPr>
          <w:trHeight w:val="420"/>
        </w:trPr>
        <w:tc>
          <w:tcPr>
            <w:tcW w:w="452"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b/>
                <w:sz w:val="18"/>
                <w:szCs w:val="1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ascii="仿宋_GB2312" w:hAnsi="仿宋_GB2312" w:cs="仿宋_GB2312" w:hint="eastAsia"/>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sz w:val="24"/>
                <w:szCs w:val="24"/>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240" w:lineRule="exact"/>
              <w:jc w:val="center"/>
              <w:rPr>
                <w:rFonts w:ascii="仿宋_GB2312" w:hAnsi="仿宋_GB2312" w:cs="仿宋_GB2312" w:hint="eastAsia"/>
                <w:sz w:val="24"/>
                <w:szCs w:val="24"/>
              </w:rPr>
            </w:pPr>
            <w:r>
              <w:rPr>
                <w:rFonts w:ascii="仿宋_GB2312" w:hAnsi="仿宋_GB2312" w:cs="仿宋_GB2312" w:hint="eastAsia"/>
                <w:sz w:val="24"/>
                <w:szCs w:val="24"/>
              </w:rPr>
              <w:t>1.在建</w:t>
            </w:r>
          </w:p>
          <w:p w:rsidR="005A4789" w:rsidRDefault="005A4789" w:rsidP="00AC4A06">
            <w:pPr>
              <w:spacing w:line="240" w:lineRule="exact"/>
              <w:jc w:val="center"/>
              <w:rPr>
                <w:rFonts w:ascii="仿宋_GB2312" w:hAnsi="仿宋_GB2312" w:cs="仿宋_GB2312" w:hint="eastAsia"/>
                <w:sz w:val="24"/>
                <w:szCs w:val="24"/>
              </w:rPr>
            </w:pPr>
            <w:r>
              <w:rPr>
                <w:rFonts w:ascii="仿宋_GB2312" w:hAnsi="仿宋_GB2312" w:cs="仿宋_GB2312" w:hint="eastAsia"/>
                <w:sz w:val="24"/>
                <w:szCs w:val="24"/>
              </w:rPr>
              <w:t>2.完工</w:t>
            </w:r>
          </w:p>
          <w:p w:rsidR="005A4789" w:rsidRDefault="005A4789" w:rsidP="00AC4A06">
            <w:pPr>
              <w:spacing w:line="240" w:lineRule="exact"/>
              <w:jc w:val="center"/>
              <w:rPr>
                <w:rFonts w:ascii="仿宋_GB2312" w:hAnsi="仿宋_GB2312" w:cs="仿宋_GB2312" w:hint="eastAsia"/>
                <w:sz w:val="24"/>
                <w:szCs w:val="24"/>
              </w:rPr>
            </w:pPr>
            <w:r>
              <w:rPr>
                <w:rFonts w:ascii="仿宋_GB2312" w:hAnsi="仿宋_GB2312" w:cs="仿宋_GB2312" w:hint="eastAsia"/>
                <w:sz w:val="24"/>
                <w:szCs w:val="24"/>
              </w:rPr>
              <w:t>3.竣工</w:t>
            </w:r>
          </w:p>
        </w:tc>
        <w:tc>
          <w:tcPr>
            <w:tcW w:w="1280"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240" w:lineRule="exact"/>
              <w:jc w:val="left"/>
              <w:rPr>
                <w:rFonts w:ascii="仿宋_GB2312" w:hAnsi="仿宋_GB2312" w:cs="仿宋_GB2312" w:hint="eastAsia"/>
                <w:sz w:val="24"/>
                <w:szCs w:val="24"/>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ascii="仿宋_GB2312" w:hAnsi="仿宋_GB2312" w:cs="仿宋_GB2312" w:hint="eastAsia"/>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ascii="仿宋_GB2312" w:hAnsi="仿宋_GB2312" w:cs="仿宋_GB2312" w:hint="eastAsia"/>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ascii="仿宋_GB2312" w:hAnsi="仿宋_GB2312" w:cs="仿宋_GB2312" w:hint="eastAsia"/>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b/>
                <w:sz w:val="18"/>
                <w:szCs w:val="1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ascii="仿宋_GB2312" w:hAnsi="仿宋_GB2312" w:cs="仿宋_GB2312" w:hint="eastAsia"/>
                <w:b/>
                <w:sz w:val="18"/>
                <w:szCs w:val="18"/>
              </w:rPr>
            </w:pPr>
          </w:p>
        </w:tc>
      </w:tr>
      <w:tr w:rsidR="005A4789" w:rsidTr="00AC4A06">
        <w:trPr>
          <w:trHeight w:val="420"/>
        </w:trPr>
        <w:tc>
          <w:tcPr>
            <w:tcW w:w="452"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r>
      <w:tr w:rsidR="005A4789" w:rsidTr="00AC4A06">
        <w:trPr>
          <w:trHeight w:val="420"/>
        </w:trPr>
        <w:tc>
          <w:tcPr>
            <w:tcW w:w="452"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r>
      <w:tr w:rsidR="005A4789" w:rsidTr="00AC4A06">
        <w:trPr>
          <w:trHeight w:val="420"/>
        </w:trPr>
        <w:tc>
          <w:tcPr>
            <w:tcW w:w="452"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r>
      <w:tr w:rsidR="005A4789" w:rsidTr="00AC4A06">
        <w:trPr>
          <w:trHeight w:val="420"/>
        </w:trPr>
        <w:tc>
          <w:tcPr>
            <w:tcW w:w="452"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widowControl/>
              <w:spacing w:line="560" w:lineRule="exact"/>
              <w:jc w:val="center"/>
              <w:textAlignment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5A4789" w:rsidRDefault="005A4789" w:rsidP="00AC4A06">
            <w:pPr>
              <w:spacing w:line="560" w:lineRule="exact"/>
              <w:jc w:val="center"/>
              <w:rPr>
                <w:rFonts w:eastAsia="仿宋"/>
                <w:b/>
                <w:sz w:val="18"/>
                <w:szCs w:val="18"/>
              </w:rPr>
            </w:pPr>
          </w:p>
        </w:tc>
      </w:tr>
    </w:tbl>
    <w:p w:rsidR="005A4789" w:rsidRDefault="005A4789" w:rsidP="005A4789">
      <w:pPr>
        <w:tabs>
          <w:tab w:val="center" w:pos="4153"/>
          <w:tab w:val="right" w:pos="8306"/>
        </w:tabs>
        <w:spacing w:line="560" w:lineRule="exact"/>
        <w:rPr>
          <w:szCs w:val="32"/>
        </w:rPr>
      </w:pPr>
      <w:r>
        <w:rPr>
          <w:szCs w:val="32"/>
        </w:rPr>
        <w:t>填报人：</w:t>
      </w:r>
      <w:r>
        <w:rPr>
          <w:szCs w:val="32"/>
        </w:rPr>
        <w:t xml:space="preserve">                                        </w:t>
      </w:r>
      <w:r>
        <w:rPr>
          <w:rFonts w:hint="eastAsia"/>
          <w:szCs w:val="32"/>
        </w:rPr>
        <w:t xml:space="preserve">                     </w:t>
      </w:r>
      <w:r>
        <w:rPr>
          <w:szCs w:val="32"/>
        </w:rPr>
        <w:t xml:space="preserve"> </w:t>
      </w:r>
      <w:r>
        <w:rPr>
          <w:szCs w:val="32"/>
        </w:rPr>
        <w:t>联系方式：</w:t>
      </w:r>
    </w:p>
    <w:p w:rsidR="005A4789" w:rsidRDefault="005A4789" w:rsidP="005A4789">
      <w:pPr>
        <w:spacing w:line="320" w:lineRule="exact"/>
        <w:jc w:val="left"/>
        <w:rPr>
          <w:rFonts w:ascii="仿宋_GB2312" w:hAnsi="仿宋_GB2312" w:cs="仿宋_GB2312" w:hint="eastAsia"/>
          <w:b/>
          <w:sz w:val="24"/>
          <w:szCs w:val="24"/>
        </w:rPr>
      </w:pPr>
    </w:p>
    <w:p w:rsidR="005A4789" w:rsidRDefault="005A4789" w:rsidP="005A4789">
      <w:pPr>
        <w:spacing w:line="320" w:lineRule="exact"/>
        <w:jc w:val="left"/>
        <w:rPr>
          <w:rFonts w:ascii="仿宋_GB2312" w:hAnsi="仿宋_GB2312" w:cs="仿宋_GB2312" w:hint="eastAsia"/>
          <w:b/>
          <w:sz w:val="24"/>
          <w:szCs w:val="24"/>
        </w:rPr>
      </w:pPr>
      <w:r>
        <w:rPr>
          <w:rFonts w:ascii="仿宋_GB2312" w:hAnsi="仿宋_GB2312" w:cs="仿宋_GB2312" w:hint="eastAsia"/>
          <w:b/>
          <w:sz w:val="24"/>
          <w:szCs w:val="24"/>
        </w:rPr>
        <w:lastRenderedPageBreak/>
        <w:t>备注：1.“问题类型”填写内容为：未落实实名制信息化管理、拖欠工程进度款、未提供工程款支付担保等其他，如不存在填写“无”或“/”；</w:t>
      </w:r>
    </w:p>
    <w:p w:rsidR="005A4789" w:rsidRDefault="005A4789" w:rsidP="005A4789">
      <w:pPr>
        <w:spacing w:line="320" w:lineRule="exact"/>
        <w:ind w:firstLineChars="300" w:firstLine="723"/>
        <w:jc w:val="left"/>
        <w:rPr>
          <w:rFonts w:ascii="仿宋_GB2312" w:hAnsi="仿宋_GB2312" w:cs="仿宋_GB2312" w:hint="eastAsia"/>
          <w:b/>
          <w:sz w:val="24"/>
          <w:szCs w:val="24"/>
        </w:rPr>
      </w:pPr>
      <w:r>
        <w:rPr>
          <w:rFonts w:ascii="仿宋_GB2312" w:hAnsi="仿宋_GB2312" w:cs="仿宋_GB2312" w:hint="eastAsia"/>
          <w:b/>
          <w:sz w:val="24"/>
          <w:szCs w:val="24"/>
        </w:rPr>
        <w:t>2.本表于每月23日前报送（加盖公章），书面反馈至</w:t>
      </w:r>
      <w:proofErr w:type="gramStart"/>
      <w:r>
        <w:rPr>
          <w:rFonts w:ascii="仿宋_GB2312" w:hAnsi="仿宋_GB2312" w:cs="仿宋_GB2312" w:hint="eastAsia"/>
          <w:b/>
          <w:sz w:val="24"/>
          <w:szCs w:val="24"/>
        </w:rPr>
        <w:t>洛</w:t>
      </w:r>
      <w:proofErr w:type="gramEnd"/>
      <w:r>
        <w:rPr>
          <w:rFonts w:ascii="仿宋_GB2312" w:hAnsi="仿宋_GB2312" w:cs="仿宋_GB2312" w:hint="eastAsia"/>
          <w:b/>
          <w:sz w:val="24"/>
          <w:szCs w:val="24"/>
        </w:rPr>
        <w:t>江区住建局建工股（安吉路28号二楼）。</w:t>
      </w:r>
    </w:p>
    <w:p w:rsidR="005A4789" w:rsidRDefault="005A4789" w:rsidP="005A4789">
      <w:pPr>
        <w:spacing w:line="320" w:lineRule="exact"/>
        <w:rPr>
          <w:sz w:val="24"/>
          <w:szCs w:val="24"/>
        </w:rPr>
      </w:pPr>
    </w:p>
    <w:p w:rsidR="005A4789" w:rsidRDefault="005A4789" w:rsidP="005A4789">
      <w:pPr>
        <w:pStyle w:val="2"/>
        <w:ind w:left="640"/>
        <w:rPr>
          <w:rFonts w:hint="eastAsia"/>
        </w:rPr>
      </w:pPr>
    </w:p>
    <w:p w:rsidR="005A4789" w:rsidRDefault="005A4789" w:rsidP="005A4789">
      <w:pPr>
        <w:pStyle w:val="2"/>
        <w:ind w:left="640"/>
        <w:rPr>
          <w:rFonts w:hint="eastAsia"/>
        </w:rPr>
      </w:pPr>
    </w:p>
    <w:p w:rsidR="005A4789" w:rsidRPr="005A4789" w:rsidRDefault="005A4789" w:rsidP="005A4789">
      <w:pPr>
        <w:pStyle w:val="2"/>
        <w:ind w:left="640"/>
        <w:rPr>
          <w:rFonts w:hint="eastAsia"/>
        </w:rPr>
      </w:pPr>
    </w:p>
    <w:p w:rsidR="005A4789" w:rsidRDefault="005A4789" w:rsidP="005A4789">
      <w:pPr>
        <w:pStyle w:val="a5"/>
        <w:widowControl/>
        <w:shd w:val="clear" w:color="auto" w:fill="FFFFFF"/>
        <w:spacing w:before="0" w:beforeAutospacing="0" w:after="0" w:afterAutospacing="0" w:line="560" w:lineRule="exact"/>
        <w:rPr>
          <w:rFonts w:ascii="黑体" w:eastAsia="黑体" w:hAnsi="黑体" w:cs="仿宋_GB2312" w:hint="eastAsia"/>
          <w:b/>
          <w:bCs/>
          <w:kern w:val="2"/>
          <w:sz w:val="32"/>
          <w:szCs w:val="32"/>
        </w:rPr>
      </w:pPr>
    </w:p>
    <w:p w:rsidR="005A4789" w:rsidRDefault="005A4789">
      <w:pPr>
        <w:widowControl/>
        <w:jc w:val="left"/>
        <w:rPr>
          <w:rFonts w:ascii="黑体" w:eastAsia="黑体" w:hAnsi="黑体" w:cs="仿宋_GB2312"/>
          <w:b/>
          <w:bCs/>
          <w:szCs w:val="32"/>
        </w:rPr>
      </w:pPr>
      <w:r>
        <w:rPr>
          <w:rFonts w:ascii="黑体" w:eastAsia="黑体" w:hAnsi="黑体" w:cs="仿宋_GB2312"/>
          <w:b/>
          <w:bCs/>
          <w:szCs w:val="32"/>
        </w:rPr>
        <w:br w:type="page"/>
      </w:r>
    </w:p>
    <w:p w:rsidR="005A4789" w:rsidRDefault="005A4789" w:rsidP="005A4789">
      <w:pPr>
        <w:pStyle w:val="a5"/>
        <w:widowControl/>
        <w:shd w:val="clear" w:color="auto" w:fill="FFFFFF"/>
        <w:spacing w:before="0" w:beforeAutospacing="0" w:after="0" w:afterAutospacing="0" w:line="560" w:lineRule="exact"/>
        <w:rPr>
          <w:rFonts w:ascii="黑体" w:eastAsia="黑体" w:hAnsi="黑体" w:cs="宋体"/>
          <w:color w:val="333333"/>
        </w:rPr>
      </w:pPr>
      <w:r>
        <w:rPr>
          <w:rFonts w:ascii="黑体" w:eastAsia="黑体" w:hAnsi="黑体" w:cs="仿宋_GB2312" w:hint="eastAsia"/>
          <w:b/>
          <w:bCs/>
          <w:kern w:val="2"/>
          <w:sz w:val="32"/>
          <w:szCs w:val="32"/>
        </w:rPr>
        <w:lastRenderedPageBreak/>
        <w:t>附件2.3</w:t>
      </w:r>
    </w:p>
    <w:p w:rsidR="005A4789" w:rsidRDefault="005A4789" w:rsidP="005A4789">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工程建设项目发放农民工工资自查</w:t>
      </w:r>
      <w:proofErr w:type="gramStart"/>
      <w:r>
        <w:rPr>
          <w:rFonts w:ascii="方正小标宋简体" w:eastAsia="方正小标宋简体" w:hint="eastAsia"/>
          <w:sz w:val="44"/>
          <w:szCs w:val="44"/>
        </w:rPr>
        <w:t>自纠月报表</w:t>
      </w:r>
      <w:proofErr w:type="gramEnd"/>
    </w:p>
    <w:p w:rsidR="005A4789" w:rsidRDefault="005A4789" w:rsidP="005A4789">
      <w:pPr>
        <w:pStyle w:val="2"/>
        <w:spacing w:line="240" w:lineRule="exact"/>
        <w:ind w:left="640"/>
        <w:rPr>
          <w:rFonts w:hint="eastAsia"/>
        </w:rPr>
      </w:pPr>
    </w:p>
    <w:p w:rsidR="005A4789" w:rsidRDefault="005A4789" w:rsidP="005A4789">
      <w:pPr>
        <w:spacing w:line="520" w:lineRule="exact"/>
        <w:ind w:leftChars="-248" w:left="-794" w:firstLineChars="100" w:firstLine="320"/>
        <w:rPr>
          <w:rFonts w:ascii="仿宋_GB2312" w:hAnsi="宋体" w:hint="eastAsia"/>
          <w:sz w:val="28"/>
          <w:szCs w:val="28"/>
        </w:rPr>
      </w:pPr>
      <w:r>
        <w:rPr>
          <w:rFonts w:ascii="宋体" w:hAnsi="宋体" w:hint="eastAsia"/>
          <w:szCs w:val="21"/>
        </w:rPr>
        <w:t>填报单位（签章）：</w:t>
      </w:r>
      <w:r>
        <w:rPr>
          <w:rFonts w:ascii="宋体" w:hAnsi="宋体" w:hint="eastAsia"/>
          <w:szCs w:val="21"/>
        </w:rPr>
        <w:t xml:space="preserve">                              </w:t>
      </w:r>
      <w:r>
        <w:rPr>
          <w:rFonts w:ascii="宋体" w:hAnsi="宋体" w:hint="eastAsia"/>
          <w:szCs w:val="21"/>
        </w:rPr>
        <w:t>填表时间：</w:t>
      </w:r>
      <w:r>
        <w:rPr>
          <w:rFonts w:ascii="宋体" w:hAnsi="宋体" w:hint="eastAsia"/>
          <w:szCs w:val="21"/>
        </w:rPr>
        <w:t xml:space="preserve">              </w:t>
      </w:r>
      <w:r>
        <w:rPr>
          <w:rFonts w:ascii="宋体" w:hAnsi="宋体" w:hint="eastAsia"/>
          <w:szCs w:val="21"/>
        </w:rPr>
        <w:t>联系电话：</w:t>
      </w:r>
    </w:p>
    <w:tbl>
      <w:tblPr>
        <w:tblW w:w="0" w:type="auto"/>
        <w:jc w:val="center"/>
        <w:tblLayout w:type="fixed"/>
        <w:tblLook w:val="0000"/>
      </w:tblPr>
      <w:tblGrid>
        <w:gridCol w:w="2073"/>
        <w:gridCol w:w="1748"/>
        <w:gridCol w:w="1238"/>
        <w:gridCol w:w="1238"/>
        <w:gridCol w:w="1211"/>
        <w:gridCol w:w="2913"/>
        <w:gridCol w:w="956"/>
        <w:gridCol w:w="1595"/>
        <w:gridCol w:w="1697"/>
      </w:tblGrid>
      <w:tr w:rsidR="005A4789" w:rsidTr="00AC4A06">
        <w:trPr>
          <w:trHeight w:val="852"/>
          <w:jc w:val="center"/>
        </w:trPr>
        <w:tc>
          <w:tcPr>
            <w:tcW w:w="7508" w:type="dxa"/>
            <w:gridSpan w:val="5"/>
            <w:tcBorders>
              <w:top w:val="single" w:sz="4" w:space="0" w:color="auto"/>
              <w:left w:val="single" w:sz="4" w:space="0" w:color="auto"/>
              <w:bottom w:val="single" w:sz="4" w:space="0" w:color="auto"/>
              <w:right w:val="single" w:sz="4" w:space="0" w:color="000000"/>
            </w:tcBorders>
            <w:vAlign w:val="center"/>
          </w:tcPr>
          <w:p w:rsidR="005A4789" w:rsidRDefault="005A4789" w:rsidP="00AC4A06">
            <w:pPr>
              <w:widowControl/>
              <w:spacing w:line="520" w:lineRule="exact"/>
              <w:ind w:hanging="1"/>
              <w:jc w:val="center"/>
              <w:rPr>
                <w:rFonts w:ascii="宋体" w:hAnsi="宋体" w:cs="宋体"/>
                <w:b/>
                <w:bCs/>
                <w:kern w:val="0"/>
                <w:sz w:val="24"/>
                <w:szCs w:val="24"/>
              </w:rPr>
            </w:pPr>
            <w:r>
              <w:rPr>
                <w:rFonts w:ascii="宋体" w:hAnsi="宋体" w:cs="宋体" w:hint="eastAsia"/>
                <w:b/>
                <w:bCs/>
                <w:kern w:val="0"/>
                <w:sz w:val="24"/>
                <w:szCs w:val="24"/>
              </w:rPr>
              <w:t>工程建设项目基本情况</w:t>
            </w:r>
          </w:p>
        </w:tc>
        <w:tc>
          <w:tcPr>
            <w:tcW w:w="2913" w:type="dxa"/>
            <w:tcBorders>
              <w:top w:val="single" w:sz="4" w:space="0" w:color="000000"/>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b/>
                <w:bCs/>
                <w:kern w:val="0"/>
                <w:sz w:val="24"/>
                <w:szCs w:val="24"/>
              </w:rPr>
            </w:pPr>
            <w:r>
              <w:rPr>
                <w:rFonts w:ascii="宋体" w:hAnsi="宋体" w:cs="宋体" w:hint="eastAsia"/>
                <w:b/>
                <w:bCs/>
                <w:kern w:val="0"/>
                <w:sz w:val="24"/>
                <w:szCs w:val="24"/>
              </w:rPr>
              <w:t>农民工工资支付情况</w:t>
            </w:r>
          </w:p>
        </w:tc>
        <w:tc>
          <w:tcPr>
            <w:tcW w:w="2551" w:type="dxa"/>
            <w:gridSpan w:val="2"/>
            <w:tcBorders>
              <w:top w:val="single" w:sz="4" w:space="0" w:color="000000"/>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b/>
                <w:bCs/>
                <w:kern w:val="0"/>
                <w:sz w:val="24"/>
                <w:szCs w:val="24"/>
              </w:rPr>
            </w:pPr>
            <w:r>
              <w:rPr>
                <w:rFonts w:ascii="宋体" w:hAnsi="宋体" w:cs="宋体" w:hint="eastAsia"/>
                <w:b/>
                <w:bCs/>
                <w:kern w:val="0"/>
                <w:sz w:val="24"/>
                <w:szCs w:val="24"/>
              </w:rPr>
              <w:t>是否拖欠农民工资及原因</w:t>
            </w:r>
          </w:p>
        </w:tc>
        <w:tc>
          <w:tcPr>
            <w:tcW w:w="1697" w:type="dxa"/>
            <w:tcBorders>
              <w:top w:val="single" w:sz="4" w:space="0" w:color="000000"/>
              <w:left w:val="nil"/>
              <w:bottom w:val="single" w:sz="4" w:space="0" w:color="000000"/>
              <w:right w:val="single" w:sz="4" w:space="0" w:color="000000"/>
            </w:tcBorders>
            <w:vAlign w:val="center"/>
          </w:tcPr>
          <w:p w:rsidR="005A4789" w:rsidRDefault="005A4789" w:rsidP="00AC4A06">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建设单位是否按月拨付人工费</w:t>
            </w:r>
          </w:p>
        </w:tc>
      </w:tr>
      <w:tr w:rsidR="005A4789" w:rsidTr="00AC4A06">
        <w:trPr>
          <w:trHeight w:val="303"/>
          <w:jc w:val="center"/>
        </w:trPr>
        <w:tc>
          <w:tcPr>
            <w:tcW w:w="2073" w:type="dxa"/>
            <w:tcBorders>
              <w:top w:val="nil"/>
              <w:left w:val="single" w:sz="4" w:space="0" w:color="auto"/>
              <w:bottom w:val="single" w:sz="4" w:space="0" w:color="auto"/>
              <w:right w:val="single" w:sz="4" w:space="0" w:color="auto"/>
            </w:tcBorders>
            <w:vAlign w:val="center"/>
          </w:tcPr>
          <w:p w:rsidR="005A4789" w:rsidRDefault="005A4789" w:rsidP="00AC4A06">
            <w:pPr>
              <w:widowControl/>
              <w:spacing w:line="520" w:lineRule="exact"/>
              <w:ind w:hanging="1"/>
              <w:jc w:val="center"/>
              <w:rPr>
                <w:rFonts w:ascii="宋体" w:hAnsi="宋体" w:cs="宋体"/>
                <w:kern w:val="0"/>
                <w:sz w:val="24"/>
                <w:szCs w:val="24"/>
              </w:rPr>
            </w:pPr>
            <w:r>
              <w:rPr>
                <w:rFonts w:ascii="宋体" w:hAnsi="宋体" w:cs="宋体" w:hint="eastAsia"/>
                <w:kern w:val="0"/>
                <w:sz w:val="24"/>
                <w:szCs w:val="24"/>
              </w:rPr>
              <w:t>项目名称</w:t>
            </w:r>
          </w:p>
        </w:tc>
        <w:tc>
          <w:tcPr>
            <w:tcW w:w="1748" w:type="dxa"/>
            <w:tcBorders>
              <w:top w:val="nil"/>
              <w:left w:val="nil"/>
              <w:bottom w:val="single" w:sz="4" w:space="0" w:color="auto"/>
              <w:right w:val="single" w:sz="4" w:space="0" w:color="auto"/>
            </w:tcBorders>
            <w:vAlign w:val="center"/>
          </w:tcPr>
          <w:p w:rsidR="005A4789" w:rsidRDefault="005A4789" w:rsidP="00AC4A06">
            <w:pPr>
              <w:widowControl/>
              <w:spacing w:line="520" w:lineRule="exact"/>
              <w:ind w:hanging="1"/>
              <w:jc w:val="center"/>
              <w:rPr>
                <w:rFonts w:ascii="宋体" w:hAnsi="宋体" w:cs="宋体"/>
                <w:kern w:val="0"/>
                <w:sz w:val="24"/>
                <w:szCs w:val="24"/>
              </w:rPr>
            </w:pPr>
            <w:r>
              <w:rPr>
                <w:rFonts w:ascii="宋体" w:hAnsi="宋体" w:cs="宋体" w:hint="eastAsia"/>
                <w:kern w:val="0"/>
                <w:sz w:val="24"/>
                <w:szCs w:val="24"/>
              </w:rPr>
              <w:t>项目地址</w:t>
            </w:r>
          </w:p>
        </w:tc>
        <w:tc>
          <w:tcPr>
            <w:tcW w:w="1238" w:type="dxa"/>
            <w:tcBorders>
              <w:top w:val="nil"/>
              <w:left w:val="nil"/>
              <w:bottom w:val="single" w:sz="4" w:space="0" w:color="000000"/>
              <w:right w:val="single" w:sz="4" w:space="0" w:color="000000"/>
            </w:tcBorders>
            <w:vAlign w:val="center"/>
          </w:tcPr>
          <w:p w:rsidR="005A4789" w:rsidRDefault="005A4789" w:rsidP="00AC4A06">
            <w:pPr>
              <w:widowControl/>
              <w:spacing w:line="400" w:lineRule="exact"/>
              <w:ind w:hanging="1"/>
              <w:jc w:val="center"/>
              <w:rPr>
                <w:rFonts w:ascii="宋体" w:hAnsi="宋体" w:cs="宋体"/>
                <w:kern w:val="0"/>
                <w:sz w:val="24"/>
                <w:szCs w:val="24"/>
              </w:rPr>
            </w:pPr>
            <w:r>
              <w:rPr>
                <w:rFonts w:ascii="宋体" w:hAnsi="宋体" w:cs="宋体" w:hint="eastAsia"/>
                <w:kern w:val="0"/>
                <w:sz w:val="24"/>
                <w:szCs w:val="24"/>
              </w:rPr>
              <w:t>建设单位及联系人</w:t>
            </w:r>
          </w:p>
        </w:tc>
        <w:tc>
          <w:tcPr>
            <w:tcW w:w="1238" w:type="dxa"/>
            <w:tcBorders>
              <w:top w:val="nil"/>
              <w:left w:val="nil"/>
              <w:bottom w:val="single" w:sz="4" w:space="0" w:color="000000"/>
              <w:right w:val="single" w:sz="4" w:space="0" w:color="000000"/>
            </w:tcBorders>
            <w:vAlign w:val="center"/>
          </w:tcPr>
          <w:p w:rsidR="005A4789" w:rsidRDefault="005A4789" w:rsidP="00AC4A06">
            <w:pPr>
              <w:widowControl/>
              <w:spacing w:line="400" w:lineRule="exact"/>
              <w:ind w:hanging="1"/>
              <w:jc w:val="center"/>
              <w:rPr>
                <w:rFonts w:ascii="宋体" w:hAnsi="宋体" w:cs="宋体"/>
                <w:kern w:val="0"/>
                <w:sz w:val="24"/>
                <w:szCs w:val="24"/>
              </w:rPr>
            </w:pPr>
            <w:r>
              <w:rPr>
                <w:rFonts w:ascii="宋体" w:hAnsi="宋体" w:cs="宋体" w:hint="eastAsia"/>
                <w:kern w:val="0"/>
                <w:sz w:val="24"/>
                <w:szCs w:val="24"/>
              </w:rPr>
              <w:t>施工单位及联系人</w:t>
            </w:r>
          </w:p>
        </w:tc>
        <w:tc>
          <w:tcPr>
            <w:tcW w:w="1211" w:type="dxa"/>
            <w:tcBorders>
              <w:top w:val="nil"/>
              <w:left w:val="nil"/>
              <w:bottom w:val="single" w:sz="4" w:space="0" w:color="000000"/>
              <w:right w:val="single" w:sz="4" w:space="0" w:color="000000"/>
            </w:tcBorders>
            <w:vAlign w:val="center"/>
          </w:tcPr>
          <w:p w:rsidR="005A4789" w:rsidRDefault="005A4789" w:rsidP="00AC4A06">
            <w:pPr>
              <w:widowControl/>
              <w:spacing w:line="400" w:lineRule="exact"/>
              <w:ind w:hanging="1"/>
              <w:jc w:val="center"/>
              <w:rPr>
                <w:rFonts w:ascii="宋体" w:hAnsi="宋体" w:cs="宋体"/>
                <w:kern w:val="0"/>
                <w:sz w:val="24"/>
                <w:szCs w:val="24"/>
              </w:rPr>
            </w:pPr>
            <w:r>
              <w:rPr>
                <w:rFonts w:ascii="宋体" w:hAnsi="宋体" w:cs="宋体" w:hint="eastAsia"/>
                <w:kern w:val="0"/>
                <w:sz w:val="24"/>
                <w:szCs w:val="24"/>
              </w:rPr>
              <w:t>施工进度</w:t>
            </w:r>
          </w:p>
        </w:tc>
        <w:tc>
          <w:tcPr>
            <w:tcW w:w="2913" w:type="dxa"/>
            <w:tcBorders>
              <w:top w:val="nil"/>
              <w:left w:val="nil"/>
              <w:bottom w:val="single" w:sz="4" w:space="0" w:color="000000"/>
              <w:right w:val="single" w:sz="4" w:space="0" w:color="000000"/>
            </w:tcBorders>
            <w:vAlign w:val="center"/>
          </w:tcPr>
          <w:p w:rsidR="005A4789" w:rsidRDefault="005A4789" w:rsidP="00AC4A06">
            <w:pPr>
              <w:widowControl/>
              <w:spacing w:line="400" w:lineRule="exact"/>
              <w:rPr>
                <w:rFonts w:ascii="宋体" w:hAnsi="宋体" w:cs="宋体"/>
                <w:kern w:val="0"/>
                <w:sz w:val="24"/>
                <w:szCs w:val="24"/>
              </w:rPr>
            </w:pPr>
            <w:r>
              <w:rPr>
                <w:rFonts w:ascii="宋体" w:hAnsi="宋体" w:cs="宋体" w:hint="eastAsia"/>
                <w:kern w:val="0"/>
                <w:sz w:val="24"/>
                <w:szCs w:val="24"/>
              </w:rPr>
              <w:t>工资已发放至</w:t>
            </w:r>
            <w:r>
              <w:rPr>
                <w:rFonts w:ascii="宋体" w:hAnsi="宋体" w:cs="宋体" w:hint="eastAsia"/>
                <w:kern w:val="0"/>
                <w:sz w:val="24"/>
                <w:szCs w:val="24"/>
                <w:u w:val="single"/>
              </w:rPr>
              <w:t xml:space="preserve">       </w:t>
            </w:r>
            <w:r>
              <w:rPr>
                <w:rFonts w:ascii="宋体" w:hAnsi="宋体" w:cs="宋体" w:hint="eastAsia"/>
                <w:kern w:val="0"/>
                <w:sz w:val="24"/>
                <w:szCs w:val="24"/>
              </w:rPr>
              <w:t>年</w:t>
            </w:r>
            <w:r>
              <w:rPr>
                <w:rFonts w:ascii="宋体" w:hAnsi="宋体" w:cs="宋体" w:hint="eastAsia"/>
                <w:kern w:val="0"/>
                <w:sz w:val="24"/>
                <w:szCs w:val="24"/>
                <w:u w:val="single"/>
              </w:rPr>
              <w:t xml:space="preserve">      </w:t>
            </w:r>
            <w:r>
              <w:rPr>
                <w:rFonts w:ascii="宋体" w:hAnsi="宋体" w:cs="宋体" w:hint="eastAsia"/>
                <w:kern w:val="0"/>
                <w:sz w:val="24"/>
                <w:szCs w:val="24"/>
              </w:rPr>
              <w:t>月</w:t>
            </w:r>
          </w:p>
        </w:tc>
        <w:tc>
          <w:tcPr>
            <w:tcW w:w="956" w:type="dxa"/>
            <w:tcBorders>
              <w:top w:val="nil"/>
              <w:left w:val="nil"/>
              <w:bottom w:val="single" w:sz="4" w:space="0" w:color="000000"/>
              <w:right w:val="single" w:sz="4" w:space="0" w:color="000000"/>
            </w:tcBorders>
            <w:vAlign w:val="center"/>
          </w:tcPr>
          <w:p w:rsidR="005A4789" w:rsidRDefault="005A4789" w:rsidP="00AC4A06">
            <w:pPr>
              <w:widowControl/>
              <w:spacing w:line="400" w:lineRule="exact"/>
              <w:ind w:hanging="1"/>
              <w:jc w:val="center"/>
              <w:rPr>
                <w:rFonts w:ascii="宋体" w:hAnsi="宋体" w:cs="宋体"/>
                <w:kern w:val="0"/>
                <w:sz w:val="24"/>
                <w:szCs w:val="24"/>
              </w:rPr>
            </w:pPr>
            <w:r>
              <w:rPr>
                <w:rFonts w:ascii="宋体" w:hAnsi="宋体" w:cs="宋体" w:hint="eastAsia"/>
                <w:kern w:val="0"/>
                <w:sz w:val="24"/>
                <w:szCs w:val="24"/>
              </w:rPr>
              <w:t>是否拖欠</w:t>
            </w:r>
          </w:p>
        </w:tc>
        <w:tc>
          <w:tcPr>
            <w:tcW w:w="1595" w:type="dxa"/>
            <w:tcBorders>
              <w:top w:val="nil"/>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kern w:val="0"/>
                <w:sz w:val="24"/>
                <w:szCs w:val="24"/>
              </w:rPr>
            </w:pPr>
            <w:r>
              <w:rPr>
                <w:rFonts w:ascii="宋体" w:hAnsi="宋体" w:cs="宋体" w:hint="eastAsia"/>
                <w:kern w:val="0"/>
                <w:sz w:val="24"/>
                <w:szCs w:val="24"/>
              </w:rPr>
              <w:t>原因</w:t>
            </w:r>
          </w:p>
        </w:tc>
        <w:tc>
          <w:tcPr>
            <w:tcW w:w="1697" w:type="dxa"/>
            <w:vMerge w:val="restart"/>
            <w:tcBorders>
              <w:top w:val="nil"/>
              <w:left w:val="nil"/>
              <w:right w:val="single" w:sz="4" w:space="0" w:color="000000"/>
            </w:tcBorders>
            <w:vAlign w:val="center"/>
          </w:tcPr>
          <w:p w:rsidR="005A4789" w:rsidRDefault="005A4789" w:rsidP="00AC4A06">
            <w:pPr>
              <w:widowControl/>
              <w:spacing w:line="520" w:lineRule="exact"/>
              <w:ind w:hanging="1"/>
              <w:jc w:val="center"/>
              <w:rPr>
                <w:rFonts w:ascii="宋体" w:hAnsi="宋体" w:cs="宋体" w:hint="eastAsia"/>
                <w:kern w:val="0"/>
                <w:sz w:val="24"/>
                <w:szCs w:val="24"/>
              </w:rPr>
            </w:pPr>
          </w:p>
          <w:p w:rsidR="005A4789" w:rsidRDefault="005A4789" w:rsidP="00AC4A06">
            <w:pPr>
              <w:spacing w:line="520" w:lineRule="exact"/>
              <w:rPr>
                <w:rFonts w:ascii="宋体" w:hAnsi="宋体" w:cs="宋体"/>
                <w:b/>
                <w:kern w:val="0"/>
                <w:sz w:val="24"/>
                <w:szCs w:val="24"/>
              </w:rPr>
            </w:pPr>
          </w:p>
        </w:tc>
      </w:tr>
      <w:tr w:rsidR="005A4789" w:rsidTr="00AC4A06">
        <w:trPr>
          <w:trHeight w:val="1293"/>
          <w:jc w:val="center"/>
        </w:trPr>
        <w:tc>
          <w:tcPr>
            <w:tcW w:w="2073" w:type="dxa"/>
            <w:tcBorders>
              <w:top w:val="nil"/>
              <w:left w:val="single" w:sz="4" w:space="0" w:color="auto"/>
              <w:bottom w:val="single" w:sz="4" w:space="0" w:color="auto"/>
              <w:right w:val="single" w:sz="4" w:space="0" w:color="auto"/>
            </w:tcBorders>
            <w:vAlign w:val="center"/>
          </w:tcPr>
          <w:p w:rsidR="005A4789" w:rsidRDefault="005A4789" w:rsidP="00AC4A06">
            <w:pPr>
              <w:widowControl/>
              <w:spacing w:line="520" w:lineRule="exact"/>
              <w:ind w:hanging="1"/>
              <w:jc w:val="center"/>
              <w:rPr>
                <w:rFonts w:ascii="宋体" w:hAnsi="宋体" w:cs="宋体" w:hint="eastAsia"/>
                <w:kern w:val="0"/>
                <w:sz w:val="24"/>
                <w:szCs w:val="24"/>
              </w:rPr>
            </w:pPr>
          </w:p>
        </w:tc>
        <w:tc>
          <w:tcPr>
            <w:tcW w:w="1748" w:type="dxa"/>
            <w:tcBorders>
              <w:top w:val="nil"/>
              <w:left w:val="nil"/>
              <w:bottom w:val="single" w:sz="4" w:space="0" w:color="auto"/>
              <w:right w:val="single" w:sz="4" w:space="0" w:color="auto"/>
            </w:tcBorders>
            <w:vAlign w:val="center"/>
          </w:tcPr>
          <w:p w:rsidR="005A4789" w:rsidRDefault="005A4789" w:rsidP="00AC4A06">
            <w:pPr>
              <w:widowControl/>
              <w:spacing w:line="520" w:lineRule="exact"/>
              <w:ind w:hanging="1"/>
              <w:jc w:val="center"/>
              <w:rPr>
                <w:rFonts w:ascii="宋体" w:hAnsi="宋体" w:cs="宋体" w:hint="eastAsia"/>
                <w:kern w:val="0"/>
                <w:sz w:val="24"/>
                <w:szCs w:val="24"/>
              </w:rPr>
            </w:pPr>
          </w:p>
        </w:tc>
        <w:tc>
          <w:tcPr>
            <w:tcW w:w="1238" w:type="dxa"/>
            <w:tcBorders>
              <w:top w:val="nil"/>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hint="eastAsia"/>
                <w:kern w:val="0"/>
                <w:sz w:val="24"/>
                <w:szCs w:val="24"/>
              </w:rPr>
            </w:pPr>
          </w:p>
        </w:tc>
        <w:tc>
          <w:tcPr>
            <w:tcW w:w="1238" w:type="dxa"/>
            <w:tcBorders>
              <w:top w:val="nil"/>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hint="eastAsia"/>
                <w:kern w:val="0"/>
                <w:sz w:val="24"/>
                <w:szCs w:val="24"/>
              </w:rPr>
            </w:pPr>
          </w:p>
        </w:tc>
        <w:tc>
          <w:tcPr>
            <w:tcW w:w="1211" w:type="dxa"/>
            <w:tcBorders>
              <w:top w:val="nil"/>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hint="eastAsia"/>
                <w:kern w:val="0"/>
                <w:sz w:val="24"/>
                <w:szCs w:val="24"/>
              </w:rPr>
            </w:pPr>
          </w:p>
        </w:tc>
        <w:tc>
          <w:tcPr>
            <w:tcW w:w="2913" w:type="dxa"/>
            <w:tcBorders>
              <w:top w:val="nil"/>
              <w:left w:val="nil"/>
              <w:bottom w:val="single" w:sz="4" w:space="0" w:color="000000"/>
              <w:right w:val="single" w:sz="4" w:space="0" w:color="000000"/>
            </w:tcBorders>
            <w:vAlign w:val="center"/>
          </w:tcPr>
          <w:p w:rsidR="005A4789" w:rsidRDefault="005A4789" w:rsidP="00AC4A06">
            <w:pPr>
              <w:widowControl/>
              <w:spacing w:line="520" w:lineRule="exact"/>
              <w:rPr>
                <w:rFonts w:ascii="宋体" w:hAnsi="宋体" w:cs="宋体" w:hint="eastAsia"/>
                <w:kern w:val="0"/>
                <w:sz w:val="24"/>
                <w:szCs w:val="24"/>
                <w:u w:val="single"/>
              </w:rPr>
            </w:pPr>
            <w:r>
              <w:rPr>
                <w:rFonts w:ascii="宋体" w:hAnsi="宋体" w:cs="宋体" w:hint="eastAsia"/>
                <w:kern w:val="0"/>
                <w:sz w:val="24"/>
                <w:szCs w:val="24"/>
              </w:rPr>
              <w:t>涉及人数</w:t>
            </w:r>
            <w:r>
              <w:rPr>
                <w:rFonts w:ascii="宋体" w:hAnsi="宋体" w:cs="宋体" w:hint="eastAsia"/>
                <w:kern w:val="0"/>
                <w:sz w:val="24"/>
                <w:szCs w:val="24"/>
                <w:u w:val="single"/>
              </w:rPr>
              <w:t xml:space="preserve">                    </w:t>
            </w:r>
          </w:p>
          <w:p w:rsidR="005A4789" w:rsidRDefault="005A4789" w:rsidP="00AC4A06">
            <w:pPr>
              <w:widowControl/>
              <w:spacing w:line="520" w:lineRule="exact"/>
              <w:rPr>
                <w:rFonts w:ascii="宋体" w:hAnsi="宋体" w:cs="宋体" w:hint="eastAsia"/>
                <w:kern w:val="0"/>
                <w:sz w:val="24"/>
                <w:szCs w:val="24"/>
                <w:u w:val="single"/>
              </w:rPr>
            </w:pPr>
            <w:r>
              <w:rPr>
                <w:rFonts w:ascii="宋体" w:hAnsi="宋体" w:cs="宋体" w:hint="eastAsia"/>
                <w:kern w:val="0"/>
                <w:sz w:val="24"/>
                <w:szCs w:val="24"/>
              </w:rPr>
              <w:t>涉及金额</w:t>
            </w:r>
            <w:r>
              <w:rPr>
                <w:rFonts w:ascii="宋体" w:hAnsi="宋体" w:cs="宋体" w:hint="eastAsia"/>
                <w:kern w:val="0"/>
                <w:sz w:val="24"/>
                <w:szCs w:val="24"/>
                <w:u w:val="single"/>
              </w:rPr>
              <w:t xml:space="preserve">                    </w:t>
            </w:r>
          </w:p>
        </w:tc>
        <w:tc>
          <w:tcPr>
            <w:tcW w:w="956" w:type="dxa"/>
            <w:tcBorders>
              <w:top w:val="nil"/>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hint="eastAsia"/>
                <w:kern w:val="0"/>
                <w:sz w:val="24"/>
                <w:szCs w:val="24"/>
              </w:rPr>
            </w:pPr>
          </w:p>
        </w:tc>
        <w:tc>
          <w:tcPr>
            <w:tcW w:w="1595" w:type="dxa"/>
            <w:tcBorders>
              <w:top w:val="nil"/>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hint="eastAsia"/>
                <w:kern w:val="0"/>
                <w:sz w:val="24"/>
                <w:szCs w:val="24"/>
              </w:rPr>
            </w:pPr>
          </w:p>
        </w:tc>
        <w:tc>
          <w:tcPr>
            <w:tcW w:w="1697" w:type="dxa"/>
            <w:vMerge/>
            <w:tcBorders>
              <w:left w:val="nil"/>
              <w:bottom w:val="single" w:sz="4" w:space="0" w:color="000000"/>
              <w:right w:val="single" w:sz="4" w:space="0" w:color="000000"/>
            </w:tcBorders>
            <w:vAlign w:val="center"/>
          </w:tcPr>
          <w:p w:rsidR="005A4789" w:rsidRDefault="005A4789" w:rsidP="00AC4A06">
            <w:pPr>
              <w:widowControl/>
              <w:spacing w:line="520" w:lineRule="exact"/>
              <w:ind w:hanging="1"/>
              <w:jc w:val="center"/>
              <w:rPr>
                <w:rFonts w:ascii="宋体" w:hAnsi="宋体" w:cs="宋体"/>
                <w:kern w:val="0"/>
                <w:sz w:val="24"/>
                <w:szCs w:val="24"/>
              </w:rPr>
            </w:pPr>
          </w:p>
        </w:tc>
      </w:tr>
    </w:tbl>
    <w:p w:rsidR="005A4789" w:rsidRDefault="005A4789" w:rsidP="005A4789">
      <w:pPr>
        <w:spacing w:line="320" w:lineRule="exact"/>
        <w:jc w:val="left"/>
        <w:rPr>
          <w:rFonts w:ascii="仿宋_GB2312" w:hAnsi="仿宋_GB2312" w:cs="仿宋_GB2312" w:hint="eastAsia"/>
          <w:b/>
          <w:sz w:val="24"/>
          <w:szCs w:val="24"/>
        </w:rPr>
      </w:pPr>
    </w:p>
    <w:p w:rsidR="00223D90" w:rsidRDefault="005A4789" w:rsidP="005A4789">
      <w:r>
        <w:rPr>
          <w:rFonts w:ascii="仿宋_GB2312" w:hAnsi="仿宋_GB2312" w:cs="仿宋_GB2312" w:hint="eastAsia"/>
          <w:b/>
          <w:sz w:val="24"/>
          <w:szCs w:val="24"/>
        </w:rPr>
        <w:t>备注：本表每个工程建设项目均需报送，每月1日报送上个月情况（加盖公章），报送至</w:t>
      </w:r>
      <w:proofErr w:type="gramStart"/>
      <w:r>
        <w:rPr>
          <w:rFonts w:ascii="仿宋_GB2312" w:hAnsi="仿宋_GB2312" w:cs="仿宋_GB2312" w:hint="eastAsia"/>
          <w:b/>
          <w:sz w:val="24"/>
          <w:szCs w:val="24"/>
        </w:rPr>
        <w:t>洛</w:t>
      </w:r>
      <w:proofErr w:type="gramEnd"/>
      <w:r>
        <w:rPr>
          <w:rFonts w:ascii="仿宋_GB2312" w:hAnsi="仿宋_GB2312" w:cs="仿宋_GB2312" w:hint="eastAsia"/>
          <w:b/>
          <w:sz w:val="24"/>
          <w:szCs w:val="24"/>
        </w:rPr>
        <w:t>江区劳动保障监察大队（</w:t>
      </w:r>
      <w:proofErr w:type="gramStart"/>
      <w:r>
        <w:rPr>
          <w:rFonts w:ascii="仿宋_GB2312" w:hAnsi="仿宋_GB2312" w:cs="仿宋_GB2312" w:hint="eastAsia"/>
          <w:b/>
          <w:sz w:val="24"/>
          <w:szCs w:val="24"/>
        </w:rPr>
        <w:t>洛</w:t>
      </w:r>
      <w:proofErr w:type="gramEnd"/>
      <w:r>
        <w:rPr>
          <w:rFonts w:ascii="仿宋_GB2312" w:hAnsi="仿宋_GB2312" w:cs="仿宋_GB2312" w:hint="eastAsia"/>
          <w:b/>
          <w:sz w:val="24"/>
          <w:szCs w:val="24"/>
        </w:rPr>
        <w:t>江</w:t>
      </w:r>
      <w:proofErr w:type="gramStart"/>
      <w:r>
        <w:rPr>
          <w:rFonts w:ascii="仿宋_GB2312" w:hAnsi="仿宋_GB2312" w:cs="仿宋_GB2312" w:hint="eastAsia"/>
          <w:b/>
          <w:sz w:val="24"/>
          <w:szCs w:val="24"/>
        </w:rPr>
        <w:t>区万贤街</w:t>
      </w:r>
      <w:proofErr w:type="gramEnd"/>
      <w:r>
        <w:rPr>
          <w:rFonts w:ascii="仿宋_GB2312" w:hAnsi="仿宋_GB2312" w:cs="仿宋_GB2312" w:hint="eastAsia"/>
          <w:b/>
          <w:sz w:val="24"/>
          <w:szCs w:val="24"/>
        </w:rPr>
        <w:t>40号一楼</w:t>
      </w:r>
    </w:p>
    <w:sectPr w:rsidR="00223D90" w:rsidSect="005A4789">
      <w:pgSz w:w="16838" w:h="11906" w:orient="landscape"/>
      <w:pgMar w:top="1800" w:right="1440" w:bottom="1800" w:left="1440"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A4789">
    <w:pPr>
      <w:pStyle w:val="a3"/>
      <w:framePr w:wrap="around" w:vAnchor="text" w:hAnchor="margin" w:xAlign="outside" w:y="1"/>
      <w:rPr>
        <w:rStyle w:val="a6"/>
        <w:rFonts w:ascii="宋体" w:hAnsi="宋体"/>
        <w:sz w:val="28"/>
        <w:szCs w:val="28"/>
      </w:rPr>
    </w:pP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sz w:val="28"/>
        <w:szCs w:val="28"/>
        <w:lang w:val="en-US" w:eastAsia="zh-CN"/>
      </w:rPr>
      <w:t>- 10 -</w:t>
    </w:r>
    <w:r>
      <w:rPr>
        <w:rFonts w:ascii="宋体" w:hAnsi="宋体"/>
        <w:sz w:val="28"/>
        <w:szCs w:val="28"/>
      </w:rPr>
      <w:fldChar w:fldCharType="end"/>
    </w:r>
  </w:p>
  <w:p w:rsidR="00000000" w:rsidRDefault="005A478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A4789">
    <w:pPr>
      <w:pStyle w:val="a3"/>
      <w:framePr w:wrap="around" w:vAnchor="text" w:hAnchor="margin" w:xAlign="outside" w:y="1"/>
      <w:rPr>
        <w:rStyle w:val="a6"/>
        <w:rFonts w:ascii="宋体" w:hAnsi="宋体"/>
        <w:sz w:val="28"/>
        <w:szCs w:val="28"/>
      </w:rPr>
    </w:pP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- 4 -</w:t>
    </w:r>
    <w:r>
      <w:rPr>
        <w:rFonts w:ascii="宋体" w:hAnsi="宋体"/>
        <w:sz w:val="28"/>
        <w:szCs w:val="28"/>
      </w:rPr>
      <w:fldChar w:fldCharType="end"/>
    </w:r>
  </w:p>
  <w:p w:rsidR="00000000" w:rsidRDefault="005A4789">
    <w:pPr>
      <w:pStyle w:val="a3"/>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A4789">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A478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5A4789"/>
    <w:rsid w:val="00223D90"/>
    <w:rsid w:val="005A47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78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5A4789"/>
    <w:pPr>
      <w:spacing w:after="120" w:line="480" w:lineRule="auto"/>
      <w:ind w:leftChars="200" w:left="420"/>
    </w:pPr>
  </w:style>
  <w:style w:type="character" w:customStyle="1" w:styleId="2Char">
    <w:name w:val="正文文本缩进 2 Char"/>
    <w:basedOn w:val="a0"/>
    <w:link w:val="2"/>
    <w:rsid w:val="005A4789"/>
    <w:rPr>
      <w:rFonts w:ascii="Times New Roman" w:eastAsia="仿宋_GB2312" w:hAnsi="Times New Roman" w:cs="Times New Roman"/>
      <w:sz w:val="32"/>
      <w:szCs w:val="20"/>
    </w:rPr>
  </w:style>
  <w:style w:type="paragraph" w:styleId="a3">
    <w:name w:val="footer"/>
    <w:basedOn w:val="a"/>
    <w:link w:val="Char"/>
    <w:qFormat/>
    <w:rsid w:val="005A4789"/>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rsid w:val="005A4789"/>
    <w:rPr>
      <w:rFonts w:ascii="Calibri" w:eastAsia="宋体" w:hAnsi="Calibri" w:cs="Times New Roman"/>
      <w:sz w:val="18"/>
      <w:szCs w:val="18"/>
    </w:rPr>
  </w:style>
  <w:style w:type="paragraph" w:styleId="a4">
    <w:name w:val="header"/>
    <w:basedOn w:val="a"/>
    <w:link w:val="Char0"/>
    <w:rsid w:val="005A47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A4789"/>
    <w:rPr>
      <w:rFonts w:ascii="Times New Roman" w:eastAsia="仿宋_GB2312" w:hAnsi="Times New Roman" w:cs="Times New Roman"/>
      <w:sz w:val="18"/>
      <w:szCs w:val="18"/>
    </w:rPr>
  </w:style>
  <w:style w:type="paragraph" w:styleId="a5">
    <w:name w:val="Normal (Web)"/>
    <w:basedOn w:val="a"/>
    <w:qFormat/>
    <w:rsid w:val="005A4789"/>
    <w:pPr>
      <w:spacing w:before="100" w:beforeAutospacing="1" w:after="100" w:afterAutospacing="1"/>
      <w:jc w:val="left"/>
    </w:pPr>
    <w:rPr>
      <w:rFonts w:ascii="Calibri" w:eastAsia="宋体" w:hAnsi="Calibri"/>
      <w:kern w:val="0"/>
      <w:sz w:val="24"/>
      <w:szCs w:val="24"/>
    </w:rPr>
  </w:style>
  <w:style w:type="character" w:styleId="a6">
    <w:name w:val="page number"/>
    <w:basedOn w:val="a0"/>
    <w:rsid w:val="005A47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ljzjj22633281@163.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6B71F-5E2C-4C68-95ED-FA083BD7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771</Words>
  <Characters>4395</Characters>
  <Application>Microsoft Office Word</Application>
  <DocSecurity>0</DocSecurity>
  <Lines>36</Lines>
  <Paragraphs>10</Paragraphs>
  <ScaleCrop>false</ScaleCrop>
  <Company>Microsoft</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2023-08-14T09:27:00Z</dcterms:created>
  <dcterms:modified xsi:type="dcterms:W3CDTF">2023-08-14T09:31:00Z</dcterms:modified>
</cp:coreProperties>
</file>